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Telemedicine &amp; Virtual Care Policy and Procedures</w:t>
      </w:r>
    </w:p>
    <w:p>
      <w:r>
        <w:rPr>
          <w:i/>
          <w:iCs/>
          <w:color w:val="666666"/>
        </w:rPr>
        <w:t xml:space="preserve">Riverside Medical Center | Digital Health | DH-010 | Effective: January 1, 2025</w:t>
      </w:r>
    </w:p>
    <w:p>
      <w:r>
        <w:t xml:space="preserve"/>
      </w:r>
    </w:p>
    <w:p>
      <w:pPr>
        <w:pStyle w:val="Heading2"/>
      </w:pPr>
      <w:r>
        <w:t xml:space="preserve">1. Scope and Purpose</w:t>
      </w:r>
    </w:p>
    <w:p>
      <w:r>
        <w:t xml:space="preserve">This policy governs the delivery of clinical services through telemedicine platforms at Riverside Medical Center, including synchronous video visits, asynchronous messaging consultations, and remote patient monitoring (RPM). All telemedicine services must meet the same standard of care as in-person visits.</w:t>
      </w:r>
    </w:p>
    <w:p>
      <w:r>
        <w:t xml:space="preserve"/>
      </w:r>
    </w:p>
    <w:p>
      <w:pPr>
        <w:pStyle w:val="Heading2"/>
      </w:pPr>
      <w:r>
        <w:t xml:space="preserve">2. Approved Telemedicine Platforms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2"/>
                <w:szCs w:val="22"/>
              </w:rPr>
              <w:t xml:space="preserve">Platform</w:t>
            </w:r>
          </w:p>
        </w:tc>
        <w:tc>
          <w:tcPr>
            <w:tcW w:type="dxa" w:w="234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2"/>
                <w:szCs w:val="22"/>
              </w:rPr>
              <w:t xml:space="preserve">Use Case</w:t>
            </w:r>
          </w:p>
        </w:tc>
        <w:tc>
          <w:tcPr>
            <w:tcW w:type="dxa" w:w="234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2"/>
                <w:szCs w:val="22"/>
              </w:rPr>
              <w:t xml:space="preserve">HIPAA BAA</w:t>
            </w:r>
          </w:p>
        </w:tc>
        <w:tc>
          <w:tcPr>
            <w:tcW w:type="dxa" w:w="234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2"/>
                <w:szCs w:val="22"/>
              </w:rPr>
              <w:t xml:space="preserve">EHR Integration</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Teladoc Health</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Urgent care, primary care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Yes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Epic integration</w:t>
            </w:r>
          </w:p>
        </w:tc>
      </w:tr>
      <w:tr>
        <w:tc>
          <w:tcPr>
            <w:tcW w:type="dxa" w:w="234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Epic MyChart Video</w:t>
            </w:r>
          </w:p>
        </w:tc>
        <w:tc>
          <w:tcPr>
            <w:tcW w:type="dxa" w:w="234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Established patient follow-up</w:t>
            </w:r>
          </w:p>
        </w:tc>
        <w:tc>
          <w:tcPr>
            <w:tcW w:type="dxa" w:w="234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Yes (Epic)</w:t>
            </w:r>
          </w:p>
        </w:tc>
        <w:tc>
          <w:tcPr>
            <w:tcW w:type="dxa" w:w="234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Native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Zoom for Healthcare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Specialist consultations, behavioral health</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Yes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Manual documentation</w:t>
            </w:r>
          </w:p>
        </w:tc>
      </w:tr>
      <w:tr>
        <w:tc>
          <w:tcPr>
            <w:tcW w:type="dxa" w:w="234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Vivify Health</w:t>
            </w:r>
          </w:p>
        </w:tc>
        <w:tc>
          <w:tcPr>
            <w:tcW w:type="dxa" w:w="234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Remote patient monitoring (CHF, COPD, post-surgical)</w:t>
            </w:r>
          </w:p>
        </w:tc>
        <w:tc>
          <w:tcPr>
            <w:tcW w:type="dxa" w:w="234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Yes</w:t>
            </w:r>
          </w:p>
        </w:tc>
        <w:tc>
          <w:tcPr>
            <w:tcW w:type="dxa" w:w="234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Epic integration</w:t>
            </w:r>
          </w:p>
        </w:tc>
      </w:tr>
    </w:tbl>
    <w:p>
      <w:r>
        <w:t xml:space="preserve"/>
      </w:r>
    </w:p>
    <w:p>
      <w:r>
        <w:t xml:space="preserve">Personal Zoom, FaceTime, Google Meet, or non-approved platforms are NOT permitted for telemedicine visits involving PHI.</w:t>
      </w:r>
    </w:p>
    <w:p>
      <w:r>
        <w:t xml:space="preserve"/>
      </w:r>
    </w:p>
    <w:p>
      <w:pPr>
        <w:pStyle w:val="Heading2"/>
      </w:pPr>
      <w:r>
        <w:t xml:space="preserve">3. Provider Requirements</w:t>
      </w:r>
    </w:p>
    <w:p>
      <w:pPr>
        <w:pStyle w:val="ListParagraph"/>
        <w:numPr>
          <w:ilvl w:val="0"/>
          <w:numId w:val="2"/>
        </w:numPr>
      </w:pPr>
      <w:r>
        <w:t xml:space="preserve">Valid medical license in the state where the patient is physically located at the time of the visit</w:t>
      </w:r>
    </w:p>
    <w:p>
      <w:pPr>
        <w:pStyle w:val="ListParagraph"/>
        <w:numPr>
          <w:ilvl w:val="0"/>
          <w:numId w:val="2"/>
        </w:numPr>
      </w:pPr>
      <w:r>
        <w:t xml:space="preserve">Telemedicine credentialing completed through the Medical Staff Office</w:t>
      </w:r>
    </w:p>
    <w:p>
      <w:pPr>
        <w:pStyle w:val="ListParagraph"/>
        <w:numPr>
          <w:ilvl w:val="0"/>
          <w:numId w:val="2"/>
        </w:numPr>
      </w:pPr>
      <w:r>
        <w:t xml:space="preserve">Platform training: Minimum 2-hour onboarding for each approved platform</w:t>
      </w:r>
    </w:p>
    <w:p>
      <w:pPr>
        <w:pStyle w:val="ListParagraph"/>
        <w:numPr>
          <w:ilvl w:val="0"/>
          <w:numId w:val="2"/>
        </w:numPr>
      </w:pPr>
      <w:r>
        <w:t xml:space="preserve">Background: Clinical, private area during visit — no patient information visible to others</w:t>
      </w:r>
    </w:p>
    <w:p>
      <w:pPr>
        <w:pStyle w:val="ListParagraph"/>
        <w:numPr>
          <w:ilvl w:val="0"/>
          <w:numId w:val="2"/>
        </w:numPr>
      </w:pPr>
      <w:r>
        <w:t xml:space="preserve">Professional appearance: Same standard as in-person visits</w:t>
      </w:r>
    </w:p>
    <w:p>
      <w:r>
        <w:t xml:space="preserve"/>
      </w:r>
    </w:p>
    <w:p>
      <w:pPr>
        <w:pStyle w:val="Heading2"/>
      </w:pPr>
      <w:r>
        <w:t xml:space="preserve">4. Patient Eligibility for Telemedicine</w:t>
      </w:r>
    </w:p>
    <w:p>
      <w:pPr>
        <w:pStyle w:val="Heading3"/>
      </w:pPr>
      <w:r>
        <w:t xml:space="preserve">4.1 Appropriate for Telemedicine</w:t>
      </w:r>
    </w:p>
    <w:p>
      <w:pPr>
        <w:pStyle w:val="ListParagraph"/>
        <w:numPr>
          <w:ilvl w:val="0"/>
          <w:numId w:val="2"/>
        </w:numPr>
      </w:pPr>
      <w:r>
        <w:t xml:space="preserve">Medication management and chronic disease follow-up (hypertension, diabetes, asthma)</w:t>
      </w:r>
    </w:p>
    <w:p>
      <w:pPr>
        <w:pStyle w:val="ListParagraph"/>
        <w:numPr>
          <w:ilvl w:val="0"/>
          <w:numId w:val="2"/>
        </w:numPr>
      </w:pPr>
      <w:r>
        <w:t xml:space="preserve">Behavioral health and psychiatry visits</w:t>
      </w:r>
    </w:p>
    <w:p>
      <w:pPr>
        <w:pStyle w:val="ListParagraph"/>
        <w:numPr>
          <w:ilvl w:val="0"/>
          <w:numId w:val="2"/>
        </w:numPr>
      </w:pPr>
      <w:r>
        <w:t xml:space="preserve">Post-operative follow-up for stable patients</w:t>
      </w:r>
    </w:p>
    <w:p>
      <w:pPr>
        <w:pStyle w:val="ListParagraph"/>
        <w:numPr>
          <w:ilvl w:val="0"/>
          <w:numId w:val="2"/>
        </w:numPr>
      </w:pPr>
      <w:r>
        <w:t xml:space="preserve">Dermatology (with high-resolution images)</w:t>
      </w:r>
    </w:p>
    <w:p>
      <w:pPr>
        <w:pStyle w:val="ListParagraph"/>
        <w:numPr>
          <w:ilvl w:val="0"/>
          <w:numId w:val="2"/>
        </w:numPr>
      </w:pPr>
      <w:r>
        <w:t xml:space="preserve">Nutritional counseling, care coordination, health coaching</w:t>
      </w:r>
    </w:p>
    <w:p>
      <w:pPr>
        <w:pStyle w:val="ListParagraph"/>
        <w:numPr>
          <w:ilvl w:val="0"/>
          <w:numId w:val="2"/>
        </w:numPr>
      </w:pPr>
      <w:r>
        <w:t xml:space="preserve">Minor acute illness: UTI, upper respiratory infection, rash evaluation</w:t>
      </w:r>
    </w:p>
    <w:p>
      <w:r>
        <w:t xml:space="preserve"/>
      </w:r>
    </w:p>
    <w:p>
      <w:pPr>
        <w:pStyle w:val="Heading3"/>
      </w:pPr>
      <w:r>
        <w:t xml:space="preserve">4.2 NOT Appropriate for Telemedicine — Require In-Person</w:t>
      </w:r>
    </w:p>
    <w:p>
      <w:pPr>
        <w:pStyle w:val="ListParagraph"/>
        <w:numPr>
          <w:ilvl w:val="0"/>
          <w:numId w:val="2"/>
        </w:numPr>
      </w:pPr>
      <w:r>
        <w:t xml:space="preserve">New patient visits requiring physical examination (except behavioral health)</w:t>
      </w:r>
    </w:p>
    <w:p>
      <w:pPr>
        <w:pStyle w:val="ListParagraph"/>
        <w:numPr>
          <w:ilvl w:val="0"/>
          <w:numId w:val="2"/>
        </w:numPr>
      </w:pPr>
      <w:r>
        <w:t xml:space="preserve">Chest pain, shortness of breath, or any potential emergency — call 911</w:t>
      </w:r>
    </w:p>
    <w:p>
      <w:pPr>
        <w:pStyle w:val="ListParagraph"/>
        <w:numPr>
          <w:ilvl w:val="0"/>
          <w:numId w:val="2"/>
        </w:numPr>
      </w:pPr>
      <w:r>
        <w:t xml:space="preserve">Controlled substance prescribing (first visit or new condition) — per DEA regulations</w:t>
      </w:r>
    </w:p>
    <w:p>
      <w:pPr>
        <w:pStyle w:val="ListParagraph"/>
        <w:numPr>
          <w:ilvl w:val="0"/>
          <w:numId w:val="2"/>
        </w:numPr>
      </w:pPr>
      <w:r>
        <w:t xml:space="preserve">Procedures of any kind</w:t>
      </w:r>
    </w:p>
    <w:p>
      <w:pPr>
        <w:pStyle w:val="ListParagraph"/>
        <w:numPr>
          <w:ilvl w:val="0"/>
          <w:numId w:val="2"/>
        </w:numPr>
      </w:pPr>
      <w:r>
        <w:t xml:space="preserve">Pediatric visits for patients under 2 years of age</w:t>
      </w:r>
    </w:p>
    <w:p>
      <w:r>
        <w:t xml:space="preserve"/>
      </w:r>
    </w:p>
    <w:p>
      <w:pPr>
        <w:pStyle w:val="Heading2"/>
      </w:pPr>
      <w:r>
        <w:t xml:space="preserve">5. Informed Consent for Telemedicine</w:t>
      </w:r>
    </w:p>
    <w:p>
      <w:r>
        <w:t xml:space="preserve">Patients must provide informed consent for telemedicine prior to the first virtual visit. Consent must address:</w:t>
      </w:r>
    </w:p>
    <w:p>
      <w:pPr>
        <w:pStyle w:val="ListParagraph"/>
        <w:numPr>
          <w:ilvl w:val="0"/>
          <w:numId w:val="2"/>
        </w:numPr>
      </w:pPr>
      <w:r>
        <w:t xml:space="preserve">Nature of telemedicine services and limitations vs. in-person care</w:t>
      </w:r>
    </w:p>
    <w:p>
      <w:pPr>
        <w:pStyle w:val="ListParagraph"/>
        <w:numPr>
          <w:ilvl w:val="0"/>
          <w:numId w:val="2"/>
        </w:numPr>
      </w:pPr>
      <w:r>
        <w:t xml:space="preserve">Privacy practices specific to virtual care</w:t>
      </w:r>
    </w:p>
    <w:p>
      <w:pPr>
        <w:pStyle w:val="ListParagraph"/>
        <w:numPr>
          <w:ilvl w:val="0"/>
          <w:numId w:val="2"/>
        </w:numPr>
      </w:pPr>
      <w:r>
        <w:t xml:space="preserve">Patient's right to discontinue and be seen in person at any time</w:t>
      </w:r>
    </w:p>
    <w:p>
      <w:pPr>
        <w:pStyle w:val="ListParagraph"/>
        <w:numPr>
          <w:ilvl w:val="0"/>
          <w:numId w:val="2"/>
        </w:numPr>
      </w:pPr>
      <w:r>
        <w:t xml:space="preserve">Technical requirements and what happens if connection is lost</w:t>
      </w:r>
    </w:p>
    <w:p>
      <w:pPr>
        <w:pStyle w:val="ListParagraph"/>
        <w:numPr>
          <w:ilvl w:val="0"/>
          <w:numId w:val="2"/>
        </w:numPr>
      </w:pPr>
      <w:r>
        <w:t xml:space="preserve">Consent documented in Epic before the visit begins</w:t>
      </w:r>
    </w:p>
    <w:p>
      <w:r>
        <w:t xml:space="preserve"/>
      </w:r>
    </w:p>
    <w:p>
      <w:pPr>
        <w:pStyle w:val="Heading2"/>
      </w:pPr>
      <w:r>
        <w:t xml:space="preserve">6. Billing &amp; Coding for Telemedicine</w:t>
      </w:r>
    </w:p>
    <w:p>
      <w:r>
        <w:t xml:space="preserve">Telemedicine services are billed using standard E&amp;M codes with appropriate modifiers:</w:t>
      </w:r>
    </w:p>
    <w:p>
      <w:pPr>
        <w:pStyle w:val="ListParagraph"/>
        <w:numPr>
          <w:ilvl w:val="0"/>
          <w:numId w:val="2"/>
        </w:numPr>
      </w:pPr>
      <w:r>
        <w:t xml:space="preserve">Synchronous video visit: Appropriate E&amp;M code + modifier 95</w:t>
      </w:r>
    </w:p>
    <w:p>
      <w:pPr>
        <w:pStyle w:val="ListParagraph"/>
        <w:numPr>
          <w:ilvl w:val="0"/>
          <w:numId w:val="2"/>
        </w:numPr>
      </w:pPr>
      <w:r>
        <w:t xml:space="preserve">Telephone visits (audio-only): CPT 99441-99443 — confirm payer coverage first</w:t>
      </w:r>
    </w:p>
    <w:p>
      <w:pPr>
        <w:pStyle w:val="ListParagraph"/>
        <w:numPr>
          <w:ilvl w:val="0"/>
          <w:numId w:val="2"/>
        </w:numPr>
      </w:pPr>
      <w:r>
        <w:t xml:space="preserve">Remote patient monitoring: CPT 99453 (setup), 99454 (device supply), 99457/99458 (time)</w:t>
      </w:r>
    </w:p>
    <w:p>
      <w:pPr>
        <w:pStyle w:val="ListParagraph"/>
        <w:numPr>
          <w:ilvl w:val="0"/>
          <w:numId w:val="2"/>
        </w:numPr>
      </w:pPr>
      <w:r>
        <w:t xml:space="preserve">Payer coverage varies — verify eligibility before scheduling through the authorization team</w:t>
      </w:r>
    </w:p>
    <w:p>
      <w:r>
        <w:t xml:space="preserve"/>
      </w:r>
    </w:p>
    <w:p>
      <w:pPr>
        <w:pStyle w:val="Heading2"/>
      </w:pPr>
      <w:r>
        <w:t xml:space="preserve">7. Digital Health Contacts</w:t>
      </w:r>
    </w:p>
    <w:p>
      <w:pPr>
        <w:pStyle w:val="ListParagraph"/>
        <w:numPr>
          <w:ilvl w:val="0"/>
          <w:numId w:val="2"/>
        </w:numPr>
      </w:pPr>
      <w:r>
        <w:t xml:space="preserve">Digital Health Department: digitalhealth@riversidemedical.org | ext. 4000</w:t>
      </w:r>
    </w:p>
    <w:p>
      <w:pPr>
        <w:pStyle w:val="ListParagraph"/>
        <w:numPr>
          <w:ilvl w:val="0"/>
          <w:numId w:val="2"/>
        </w:numPr>
      </w:pPr>
      <w:r>
        <w:t xml:space="preserve">Telemedicine Platform Support: telehealth.support@riversidemedical.org | ext. 4010</w:t>
      </w:r>
    </w:p>
    <w:p>
      <w:pPr>
        <w:pStyle w:val="ListParagraph"/>
        <w:numPr>
          <w:ilvl w:val="0"/>
          <w:numId w:val="2"/>
        </w:numPr>
      </w:pPr>
      <w:r>
        <w:t xml:space="preserve">Telemedicine Billing: telehealth.billing@riversidemedical.org | ext. 5840</w:t>
      </w:r>
    </w:p>
    <w:p>
      <w:pPr>
        <w:pStyle w:val="ListParagraph"/>
        <w:numPr>
          <w:ilvl w:val="0"/>
          <w:numId w:val="2"/>
        </w:numPr>
      </w:pPr>
      <w:r>
        <w:t xml:space="preserve">Patient Technical Support: 1-888-RMC-TECH</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A5276"/>
      <w:sz w:val="36"/>
      <w:szCs w:val="36"/>
    </w:rPr>
  </w:style>
  <w:style w:type="paragraph" w:styleId="Heading2">
    <w:name w:val="Heading 2"/>
    <w:basedOn w:val="Normal"/>
    <w:next w:val="Normal"/>
    <w:qFormat/>
    <w:pPr>
      <w:spacing w:after="120" w:before="240"/>
      <w:outlineLvl w:val="1"/>
    </w:pPr>
    <w:rPr>
      <w:rFonts w:ascii="Arial" w:cs="Arial" w:eastAsia="Arial" w:hAnsi="Arial"/>
      <w:b/>
      <w:bCs/>
      <w:color w:val="21618C"/>
      <w:sz w:val="28"/>
      <w:szCs w:val="28"/>
    </w:rPr>
  </w:style>
  <w:style w:type="paragraph" w:styleId="Heading3">
    <w:name w:val="Heading 3"/>
    <w:basedOn w:val="Normal"/>
    <w:next w:val="Normal"/>
    <w:qFormat/>
    <w:pPr>
      <w:spacing w:after="80" w:before="180"/>
      <w:outlineLvl w:val="2"/>
    </w:pPr>
    <w:rPr>
      <w:rFonts w:ascii="Arial" w:cs="Arial" w:eastAsia="Arial" w:hAnsi="Arial"/>
      <w:b/>
      <w:bCs/>
      <w:color w:val="2874A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2026-05-18T16:16:34.064Z</dcterms:created>
  <dcterms:modified xsi:type="dcterms:W3CDTF">2026-05-18T16:16:34.064Z</dcterms:modified>
</cp:coreProperties>
</file>

<file path=docProps/custom.xml><?xml version="1.0" encoding="utf-8"?>
<Properties xmlns="http://schemas.openxmlformats.org/officeDocument/2006/custom-properties" xmlns:vt="http://schemas.openxmlformats.org/officeDocument/2006/docPropsVTypes"/>
</file>