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t xml:space="preserve">Medical Staff Credentialing &amp; Privileging Policy</w:t>
      </w:r>
    </w:p>
    <w:p>
      <w:r>
        <w:rPr>
          <w:i/>
          <w:iCs/>
          <w:color w:val="666666"/>
        </w:rPr>
        <w:t xml:space="preserve">Riverside Medical Center | Medical Staff Office | MSO-009 | Approved by Medical Executive Committee: January 2025</w:t>
      </w:r>
    </w:p>
    <w:p>
      <w:r>
        <w:t xml:space="preserve"/>
      </w:r>
    </w:p>
    <w:p>
      <w:pPr>
        <w:pStyle w:val="Heading2"/>
      </w:pPr>
      <w:r>
        <w:t xml:space="preserve">1. Purpose and Regulatory Framework</w:t>
      </w:r>
    </w:p>
    <w:p>
      <w:r>
        <w:t xml:space="preserve">This policy establishes the process for credentialing and granting clinical privileges to all individuals who practice medicine, dentistry, or other healthcare at Riverside Medical Center. The process complies with The Joint Commission Standard MS.06.01.01 and applicable state medical practice laws.</w:t>
      </w:r>
    </w:p>
    <w:p>
      <w:r>
        <w:t xml:space="preserve"/>
      </w:r>
    </w:p>
    <w:p>
      <w:pPr>
        <w:pStyle w:val="Heading2"/>
      </w:pPr>
      <w:r>
        <w:t xml:space="preserve">2. Credentialing Requirements — All Applicants</w:t>
      </w:r>
    </w:p>
    <w:p>
      <w:r>
        <w:t xml:space="preserve">All applicants for medical staff appointment must provide and have verified:</w:t>
      </w:r>
    </w:p>
    <w:p>
      <w:pPr>
        <w:pStyle w:val="ListParagraph"/>
        <w:numPr>
          <w:ilvl w:val="0"/>
          <w:numId w:val="2"/>
        </w:numPr>
      </w:pPr>
      <w:r>
        <w:t xml:space="preserve">Valid, unrestricted license in the state of practice</w:t>
      </w:r>
    </w:p>
    <w:p>
      <w:pPr>
        <w:pStyle w:val="ListParagraph"/>
        <w:numPr>
          <w:ilvl w:val="0"/>
          <w:numId w:val="2"/>
        </w:numPr>
      </w:pPr>
      <w:r>
        <w:t xml:space="preserve">Board certification (or active candidate status) in primary specialty</w:t>
      </w:r>
    </w:p>
    <w:p>
      <w:pPr>
        <w:pStyle w:val="ListParagraph"/>
        <w:numPr>
          <w:ilvl w:val="0"/>
          <w:numId w:val="2"/>
        </w:numPr>
      </w:pPr>
      <w:r>
        <w:t xml:space="preserve">DEA registration (for prescribers of controlled substances)</w:t>
      </w:r>
    </w:p>
    <w:p>
      <w:pPr>
        <w:pStyle w:val="ListParagraph"/>
        <w:numPr>
          <w:ilvl w:val="0"/>
          <w:numId w:val="2"/>
        </w:numPr>
      </w:pPr>
      <w:r>
        <w:t xml:space="preserve">NPI number</w:t>
      </w:r>
    </w:p>
    <w:p>
      <w:pPr>
        <w:pStyle w:val="ListParagraph"/>
        <w:numPr>
          <w:ilvl w:val="0"/>
          <w:numId w:val="2"/>
        </w:numPr>
      </w:pPr>
      <w:r>
        <w:t xml:space="preserve">Malpractice insurance: Minimum $1M per occurrence / $3M aggregate</w:t>
      </w:r>
    </w:p>
    <w:p>
      <w:pPr>
        <w:pStyle w:val="ListParagraph"/>
        <w:numPr>
          <w:ilvl w:val="0"/>
          <w:numId w:val="2"/>
        </w:numPr>
      </w:pPr>
      <w:r>
        <w:t xml:space="preserve">Complete malpractice history — all claims, suits, and adverse verdicts in past 10 years</w:t>
      </w:r>
    </w:p>
    <w:p>
      <w:pPr>
        <w:pStyle w:val="ListParagraph"/>
        <w:numPr>
          <w:ilvl w:val="0"/>
          <w:numId w:val="2"/>
        </w:numPr>
      </w:pPr>
      <w:r>
        <w:t xml:space="preserve">Three peer references who can attest to current clinical competence</w:t>
      </w:r>
    </w:p>
    <w:p>
      <w:pPr>
        <w:pStyle w:val="ListParagraph"/>
        <w:numPr>
          <w:ilvl w:val="0"/>
          <w:numId w:val="2"/>
        </w:numPr>
      </w:pPr>
      <w:r>
        <w:t xml:space="preserve">Training verification: Medical school diploma, residency completion, fellowship certificates</w:t>
      </w:r>
    </w:p>
    <w:p>
      <w:pPr>
        <w:pStyle w:val="ListParagraph"/>
        <w:numPr>
          <w:ilvl w:val="0"/>
          <w:numId w:val="2"/>
        </w:numPr>
      </w:pPr>
      <w:r>
        <w:t xml:space="preserve">Work history with no unexplained gaps</w:t>
      </w:r>
    </w:p>
    <w:p>
      <w:pPr>
        <w:pStyle w:val="ListParagraph"/>
        <w:numPr>
          <w:ilvl w:val="0"/>
          <w:numId w:val="2"/>
        </w:numPr>
      </w:pPr>
      <w:r>
        <w:t xml:space="preserve">OIG/SAM exclusion database check — must be clear</w:t>
      </w:r>
    </w:p>
    <w:p>
      <w:r>
        <w:t xml:space="preserve"/>
      </w:r>
    </w:p>
    <w:p>
      <w:pPr>
        <w:pStyle w:val="Heading2"/>
      </w:pPr>
      <w:r>
        <w:t xml:space="preserve">3. Credentialing Timeline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3120"/>
        <w:gridCol w:w="3900"/>
      </w:tblGrid>
      <w:tr>
        <w:tc>
          <w:tcPr>
            <w:tcW w:type="dxa" w:w="2340"/>
            <w:tcBorders>
              <w:top w:val="single" w:color="CCCCCC" w:sz="1"/>
              <w:left w:val="single" w:color="CCCCCC" w:sz="1"/>
              <w:bottom w:val="single" w:color="CCCCCC" w:sz="1"/>
              <w:right w:val="single" w:color="CCCCCC" w:sz="1"/>
            </w:tcBorders>
            <w:shd w:fill="1A5276" w:val="clear"/>
            <w:tcMar>
              <w:top w:type="dxa" w:w="80"/>
              <w:left w:type="dxa" w:w="120"/>
              <w:bottom w:type="dxa" w:w="80"/>
              <w:right w:type="dxa" w:w="120"/>
            </w:tcMar>
          </w:tcPr>
          <w:p>
            <w:r>
              <w:rPr>
                <w:rFonts w:ascii="Arial" w:cs="Arial" w:eastAsia="Arial" w:hAnsi="Arial"/>
                <w:b/>
                <w:bCs/>
                <w:color w:val="FFFFFF"/>
                <w:sz w:val="22"/>
                <w:szCs w:val="22"/>
              </w:rPr>
              <w:t xml:space="preserve">Stage</w:t>
            </w:r>
          </w:p>
        </w:tc>
        <w:tc>
          <w:tcPr>
            <w:tcW w:type="dxa" w:w="3120"/>
            <w:tcBorders>
              <w:top w:val="single" w:color="CCCCCC" w:sz="1"/>
              <w:left w:val="single" w:color="CCCCCC" w:sz="1"/>
              <w:bottom w:val="single" w:color="CCCCCC" w:sz="1"/>
              <w:right w:val="single" w:color="CCCCCC" w:sz="1"/>
            </w:tcBorders>
            <w:shd w:fill="1A5276" w:val="clear"/>
            <w:tcMar>
              <w:top w:type="dxa" w:w="80"/>
              <w:left w:type="dxa" w:w="120"/>
              <w:bottom w:type="dxa" w:w="80"/>
              <w:right w:type="dxa" w:w="120"/>
            </w:tcMar>
          </w:tcPr>
          <w:p>
            <w:r>
              <w:rPr>
                <w:rFonts w:ascii="Arial" w:cs="Arial" w:eastAsia="Arial" w:hAnsi="Arial"/>
                <w:b/>
                <w:bCs/>
                <w:color w:val="FFFFFF"/>
                <w:sz w:val="22"/>
                <w:szCs w:val="22"/>
              </w:rPr>
              <w:t xml:space="preserve">Timeline</w:t>
            </w:r>
          </w:p>
        </w:tc>
        <w:tc>
          <w:tcPr>
            <w:tcW w:type="dxa" w:w="3900"/>
            <w:tcBorders>
              <w:top w:val="single" w:color="CCCCCC" w:sz="1"/>
              <w:left w:val="single" w:color="CCCCCC" w:sz="1"/>
              <w:bottom w:val="single" w:color="CCCCCC" w:sz="1"/>
              <w:right w:val="single" w:color="CCCCCC" w:sz="1"/>
            </w:tcBorders>
            <w:shd w:fill="1A5276" w:val="clear"/>
            <w:tcMar>
              <w:top w:type="dxa" w:w="80"/>
              <w:left w:type="dxa" w:w="120"/>
              <w:bottom w:type="dxa" w:w="80"/>
              <w:right w:type="dxa" w:w="120"/>
            </w:tcMar>
          </w:tcPr>
          <w:p>
            <w:r>
              <w:rPr>
                <w:rFonts w:ascii="Arial" w:cs="Arial" w:eastAsia="Arial" w:hAnsi="Arial"/>
                <w:b/>
                <w:bCs/>
                <w:color w:val="FFFFFF"/>
                <w:sz w:val="22"/>
                <w:szCs w:val="22"/>
              </w:rPr>
              <w:t xml:space="preserve">Responsible Party</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Application submission</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Day 0</w:t>
            </w:r>
          </w:p>
        </w:tc>
        <w:tc>
          <w:tcPr>
            <w:tcW w:type="dxa" w:w="3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Applicant</w:t>
            </w:r>
          </w:p>
        </w:tc>
      </w:tr>
      <w:tr>
        <w:tc>
          <w:tcPr>
            <w:tcW w:type="dxa" w:w="234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tcPr>
          <w:p>
            <w:r>
              <w:rPr>
                <w:rFonts w:ascii="Arial" w:cs="Arial" w:eastAsia="Arial" w:hAnsi="Arial"/>
                <w:sz w:val="22"/>
                <w:szCs w:val="22"/>
              </w:rPr>
              <w:t xml:space="preserve">Primary source verification</w:t>
            </w:r>
          </w:p>
        </w:tc>
        <w:tc>
          <w:tcPr>
            <w:tcW w:type="dxa" w:w="312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tcPr>
          <w:p>
            <w:r>
              <w:rPr>
                <w:rFonts w:ascii="Arial" w:cs="Arial" w:eastAsia="Arial" w:hAnsi="Arial"/>
                <w:sz w:val="22"/>
                <w:szCs w:val="22"/>
              </w:rPr>
              <w:t xml:space="preserve">Days 1-30</w:t>
            </w:r>
          </w:p>
        </w:tc>
        <w:tc>
          <w:tcPr>
            <w:tcW w:type="dxa" w:w="39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tcPr>
          <w:p>
            <w:r>
              <w:rPr>
                <w:rFonts w:ascii="Arial" w:cs="Arial" w:eastAsia="Arial" w:hAnsi="Arial"/>
                <w:sz w:val="22"/>
                <w:szCs w:val="22"/>
              </w:rPr>
              <w:t xml:space="preserve">Medical Staff Office (MSO)</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Department Chair review</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Days 31-40</w:t>
            </w:r>
          </w:p>
        </w:tc>
        <w:tc>
          <w:tcPr>
            <w:tcW w:type="dxa" w:w="3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Department Chair</w:t>
            </w:r>
          </w:p>
        </w:tc>
      </w:tr>
      <w:tr>
        <w:tc>
          <w:tcPr>
            <w:tcW w:type="dxa" w:w="234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tcPr>
          <w:p>
            <w:r>
              <w:rPr>
                <w:rFonts w:ascii="Arial" w:cs="Arial" w:eastAsia="Arial" w:hAnsi="Arial"/>
                <w:sz w:val="22"/>
                <w:szCs w:val="22"/>
              </w:rPr>
              <w:t xml:space="preserve">Credentials Committee</w:t>
            </w:r>
          </w:p>
        </w:tc>
        <w:tc>
          <w:tcPr>
            <w:tcW w:type="dxa" w:w="312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tcPr>
          <w:p>
            <w:r>
              <w:rPr>
                <w:rFonts w:ascii="Arial" w:cs="Arial" w:eastAsia="Arial" w:hAnsi="Arial"/>
                <w:sz w:val="22"/>
                <w:szCs w:val="22"/>
              </w:rPr>
              <w:t xml:space="preserve">Day 45 (monthly meeting)</w:t>
            </w:r>
          </w:p>
        </w:tc>
        <w:tc>
          <w:tcPr>
            <w:tcW w:type="dxa" w:w="39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tcPr>
          <w:p>
            <w:r>
              <w:rPr>
                <w:rFonts w:ascii="Arial" w:cs="Arial" w:eastAsia="Arial" w:hAnsi="Arial"/>
                <w:sz w:val="22"/>
                <w:szCs w:val="22"/>
              </w:rPr>
              <w:t xml:space="preserve">Credentials Committee</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Medical Executive Committee</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Day 60 (monthly meeting)</w:t>
            </w:r>
          </w:p>
        </w:tc>
        <w:tc>
          <w:tcPr>
            <w:tcW w:type="dxa" w:w="3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MEC</w:t>
            </w:r>
          </w:p>
        </w:tc>
      </w:tr>
      <w:tr>
        <w:tc>
          <w:tcPr>
            <w:tcW w:type="dxa" w:w="234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tcPr>
          <w:p>
            <w:r>
              <w:rPr>
                <w:rFonts w:ascii="Arial" w:cs="Arial" w:eastAsia="Arial" w:hAnsi="Arial"/>
                <w:sz w:val="22"/>
                <w:szCs w:val="22"/>
              </w:rPr>
              <w:t xml:space="preserve">Board of Trustees approval</w:t>
            </w:r>
          </w:p>
        </w:tc>
        <w:tc>
          <w:tcPr>
            <w:tcW w:type="dxa" w:w="312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tcPr>
          <w:p>
            <w:r>
              <w:rPr>
                <w:rFonts w:ascii="Arial" w:cs="Arial" w:eastAsia="Arial" w:hAnsi="Arial"/>
                <w:sz w:val="22"/>
                <w:szCs w:val="22"/>
              </w:rPr>
              <w:t xml:space="preserve">Day 75 (quarterly meeting)</w:t>
            </w:r>
          </w:p>
        </w:tc>
        <w:tc>
          <w:tcPr>
            <w:tcW w:type="dxa" w:w="3900"/>
            <w:tcBorders>
              <w:top w:val="single" w:color="CCCCCC" w:sz="1"/>
              <w:left w:val="single" w:color="CCCCCC" w:sz="1"/>
              <w:bottom w:val="single" w:color="CCCCCC" w:sz="1"/>
              <w:right w:val="single" w:color="CCCCCC" w:sz="1"/>
            </w:tcBorders>
            <w:shd w:fill="D6EAF8" w:val="clear"/>
            <w:tcMar>
              <w:top w:type="dxa" w:w="80"/>
              <w:left w:type="dxa" w:w="120"/>
              <w:bottom w:type="dxa" w:w="80"/>
              <w:right w:type="dxa" w:w="120"/>
            </w:tcMar>
          </w:tcPr>
          <w:p>
            <w:r>
              <w:rPr>
                <w:rFonts w:ascii="Arial" w:cs="Arial" w:eastAsia="Arial" w:hAnsi="Arial"/>
                <w:sz w:val="22"/>
                <w:szCs w:val="22"/>
              </w:rPr>
              <w:t xml:space="preserve">Board</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Notification to applicant</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Within 5 days of Board approval</w:t>
            </w:r>
          </w:p>
        </w:tc>
        <w:tc>
          <w:tcPr>
            <w:tcW w:type="dxa" w:w="3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MSO</w:t>
            </w:r>
          </w:p>
        </w:tc>
      </w:tr>
    </w:tbl>
    <w:p>
      <w:r>
        <w:t xml:space="preserve"/>
      </w:r>
    </w:p>
    <w:p>
      <w:pPr>
        <w:pStyle w:val="Heading2"/>
      </w:pPr>
      <w:r>
        <w:t xml:space="preserve">4. Temporary Privileges</w:t>
      </w:r>
    </w:p>
    <w:p>
      <w:r>
        <w:t xml:space="preserve">Temporary privileges may be granted in limited circumstances:</w:t>
      </w:r>
    </w:p>
    <w:p>
      <w:pPr>
        <w:pStyle w:val="ListParagraph"/>
        <w:numPr>
          <w:ilvl w:val="0"/>
          <w:numId w:val="2"/>
        </w:numPr>
      </w:pPr>
      <w:r>
        <w:t xml:space="preserve">Locum tenens: Active license + malpractice + peer references — granted for up to 120 days</w:t>
      </w:r>
    </w:p>
    <w:p>
      <w:pPr>
        <w:pStyle w:val="ListParagraph"/>
        <w:numPr>
          <w:ilvl w:val="0"/>
          <w:numId w:val="2"/>
        </w:numPr>
      </w:pPr>
      <w:r>
        <w:t xml:space="preserve">Patient needs: CMO may grant temporary privileges for specific patient need with department chair approval</w:t>
      </w:r>
    </w:p>
    <w:p>
      <w:pPr>
        <w:pStyle w:val="ListParagraph"/>
        <w:numPr>
          <w:ilvl w:val="0"/>
          <w:numId w:val="2"/>
        </w:numPr>
      </w:pPr>
      <w:r>
        <w:t xml:space="preserve">Disaster/emergency: Hospital CEO may grant privileges to licensed practitioners during declared emergencies</w:t>
      </w:r>
    </w:p>
    <w:p>
      <w:r>
        <w:t xml:space="preserve"/>
      </w:r>
    </w:p>
    <w:p>
      <w:pPr>
        <w:pStyle w:val="Heading2"/>
      </w:pPr>
      <w:r>
        <w:t xml:space="preserve">5. Reappointment — Every 2 Years</w:t>
      </w:r>
    </w:p>
    <w:p>
      <w:r>
        <w:t xml:space="preserve">Medical staff privileges must be renewed every 2 years. Reappointment review includes:</w:t>
      </w:r>
    </w:p>
    <w:p>
      <w:pPr>
        <w:pStyle w:val="ListParagraph"/>
        <w:numPr>
          <w:ilvl w:val="0"/>
          <w:numId w:val="2"/>
        </w:numPr>
      </w:pPr>
      <w:r>
        <w:t xml:space="preserve">Ongoing Professional Practice Evaluation (OPPE) data: Quality metrics, peer review outcomes</w:t>
      </w:r>
    </w:p>
    <w:p>
      <w:pPr>
        <w:pStyle w:val="ListParagraph"/>
        <w:numPr>
          <w:ilvl w:val="0"/>
          <w:numId w:val="2"/>
        </w:numPr>
      </w:pPr>
      <w:r>
        <w:t xml:space="preserve">Malpractice claims since last appointment</w:t>
      </w:r>
    </w:p>
    <w:p>
      <w:pPr>
        <w:pStyle w:val="ListParagraph"/>
        <w:numPr>
          <w:ilvl w:val="0"/>
          <w:numId w:val="2"/>
        </w:numPr>
      </w:pPr>
      <w:r>
        <w:t xml:space="preserve">Continuing education compliance (typically 50 CME hours biannually)</w:t>
      </w:r>
    </w:p>
    <w:p>
      <w:pPr>
        <w:pStyle w:val="ListParagraph"/>
        <w:numPr>
          <w:ilvl w:val="0"/>
          <w:numId w:val="2"/>
        </w:numPr>
      </w:pPr>
      <w:r>
        <w:t xml:space="preserve">Any licensure, DEA, or board certification changes</w:t>
      </w:r>
    </w:p>
    <w:p>
      <w:pPr>
        <w:pStyle w:val="ListParagraph"/>
        <w:numPr>
          <w:ilvl w:val="0"/>
          <w:numId w:val="2"/>
        </w:numPr>
      </w:pPr>
      <w:r>
        <w:t xml:space="preserve">Any reportable events: Criminal convictions, sanctions, voluntary relinquishments</w:t>
      </w:r>
    </w:p>
    <w:p>
      <w:r>
        <w:t xml:space="preserve"/>
      </w:r>
    </w:p>
    <w:p>
      <w:pPr>
        <w:pStyle w:val="Heading2"/>
      </w:pPr>
      <w:r>
        <w:t xml:space="preserve">6. Focused Professional Practice Evaluation (FPPE)</w:t>
      </w:r>
    </w:p>
    <w:p>
      <w:r>
        <w:t xml:space="preserve">FPPE is required for all new privileges and triggered by any quality concern identified through OPPE. During FPPE, a proctor reviews the practitioner's cases:</w:t>
      </w:r>
    </w:p>
    <w:p>
      <w:pPr>
        <w:pStyle w:val="ListParagraph"/>
        <w:numPr>
          <w:ilvl w:val="0"/>
          <w:numId w:val="2"/>
        </w:numPr>
      </w:pPr>
      <w:r>
        <w:t xml:space="preserve">New privilege FPPE: Minimum 10 cases proctored by department-approved physician</w:t>
      </w:r>
    </w:p>
    <w:p>
      <w:pPr>
        <w:pStyle w:val="ListParagraph"/>
        <w:numPr>
          <w:ilvl w:val="0"/>
          <w:numId w:val="2"/>
        </w:numPr>
      </w:pPr>
      <w:r>
        <w:t xml:space="preserve">For-cause FPPE: Extends until concern is resolved or action is taken</w:t>
      </w:r>
    </w:p>
    <w:p>
      <w:pPr>
        <w:pStyle w:val="ListParagraph"/>
        <w:numPr>
          <w:ilvl w:val="0"/>
          <w:numId w:val="2"/>
        </w:numPr>
      </w:pPr>
      <w:r>
        <w:t xml:space="preserve">FPPE may result in: Successful completion and return to standard privileges, remediation plan, or privilege restriction</w:t>
      </w:r>
    </w:p>
    <w:p>
      <w:r>
        <w:t xml:space="preserve"/>
      </w:r>
    </w:p>
    <w:p>
      <w:pPr>
        <w:pStyle w:val="Heading2"/>
      </w:pPr>
      <w:r>
        <w:t xml:space="preserve">7. Medical Staff Office Contact</w:t>
      </w:r>
    </w:p>
    <w:p>
      <w:pPr>
        <w:pStyle w:val="ListParagraph"/>
        <w:numPr>
          <w:ilvl w:val="0"/>
          <w:numId w:val="2"/>
        </w:numPr>
      </w:pPr>
      <w:r>
        <w:t xml:space="preserve">Medical Staff Office: mso@riversidemedical.org | ext. 7100</w:t>
      </w:r>
    </w:p>
    <w:p>
      <w:pPr>
        <w:pStyle w:val="ListParagraph"/>
        <w:numPr>
          <w:ilvl w:val="0"/>
          <w:numId w:val="2"/>
        </w:numPr>
      </w:pPr>
      <w:r>
        <w:t xml:space="preserve">Director of Medical Staff Affairs: msa.director@riversidemedical.org | ext. 7101</w:t>
      </w:r>
    </w:p>
    <w:p>
      <w:pPr>
        <w:pStyle w:val="ListParagraph"/>
        <w:numPr>
          <w:ilvl w:val="0"/>
          <w:numId w:val="2"/>
        </w:numPr>
      </w:pPr>
      <w:r>
        <w:t xml:space="preserve">Credentialing Specialist: credentialing@riversidemedical.org | ext. 7102</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80" w:before="360"/>
      <w:outlineLvl w:val="0"/>
    </w:pPr>
    <w:rPr>
      <w:rFonts w:ascii="Arial" w:cs="Arial" w:eastAsia="Arial" w:hAnsi="Arial"/>
      <w:b/>
      <w:bCs/>
      <w:color w:val="1A5276"/>
      <w:sz w:val="36"/>
      <w:szCs w:val="36"/>
    </w:rPr>
  </w:style>
  <w:style w:type="paragraph" w:styleId="Heading2">
    <w:name w:val="Heading 2"/>
    <w:basedOn w:val="Normal"/>
    <w:next w:val="Normal"/>
    <w:qFormat/>
    <w:pPr>
      <w:spacing w:after="120" w:before="240"/>
      <w:outlineLvl w:val="1"/>
    </w:pPr>
    <w:rPr>
      <w:rFonts w:ascii="Arial" w:cs="Arial" w:eastAsia="Arial" w:hAnsi="Arial"/>
      <w:b/>
      <w:bCs/>
      <w:color w:val="21618C"/>
      <w:sz w:val="28"/>
      <w:szCs w:val="28"/>
    </w:rPr>
  </w:style>
  <w:style w:type="paragraph" w:styleId="Heading3">
    <w:name w:val="Heading 3"/>
    <w:basedOn w:val="Normal"/>
    <w:next w:val="Normal"/>
    <w:qFormat/>
    <w:pPr>
      <w:spacing w:after="80" w:before="180"/>
      <w:outlineLvl w:val="2"/>
    </w:pPr>
    <w:rPr>
      <w:rFonts w:ascii="Arial" w:cs="Arial" w:eastAsia="Arial" w:hAnsi="Arial"/>
      <w:b/>
      <w:bCs/>
      <w:color w:val="2874A6"/>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2026-05-18T16:16:34.051Z</dcterms:created>
  <dcterms:modified xsi:type="dcterms:W3CDTF">2026-05-18T16:16:34.051Z</dcterms:modified>
</cp:coreProperties>
</file>

<file path=docProps/custom.xml><?xml version="1.0" encoding="utf-8"?>
<Properties xmlns="http://schemas.openxmlformats.org/officeDocument/2006/custom-properties" xmlns:vt="http://schemas.openxmlformats.org/officeDocument/2006/docPropsVTypes"/>
</file>