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Patient Discharge Planning &amp; Transition of Care Policy</w:t>
      </w:r>
    </w:p>
    <w:p>
      <w:r>
        <w:rPr>
          <w:i/>
          <w:iCs/>
          <w:color w:val="666666"/>
        </w:rPr>
        <w:t xml:space="preserve">Riverside Medical Center | Care Management | CM-008 | Effective: January 1, 2025</w:t>
      </w:r>
    </w:p>
    <w:p>
      <w:r>
        <w:t xml:space="preserve"/>
      </w:r>
    </w:p>
    <w:p>
      <w:pPr>
        <w:pStyle w:val="Heading2"/>
      </w:pPr>
      <w:r>
        <w:t xml:space="preserve">1. Discharge Planning Philosophy</w:t>
      </w:r>
    </w:p>
    <w:p>
      <w:r>
        <w:t xml:space="preserve">Effective discharge planning begins at admission and is a collaborative process involving the patient, family, physicians, nursing, case management, social work, and community providers. The goal is a safe, appropriate discharge with the right level of post-acute care and no preventable readmissions.</w:t>
      </w:r>
    </w:p>
    <w:p>
      <w:r>
        <w:t xml:space="preserve"/>
      </w:r>
    </w:p>
    <w:p>
      <w:pPr>
        <w:pStyle w:val="Heading2"/>
      </w:pPr>
      <w:r>
        <w:t xml:space="preserve">2. Discharge Screening — All Patients</w:t>
      </w:r>
    </w:p>
    <w:p>
      <w:r>
        <w:t xml:space="preserve">Case Management performs a discharge screening within 24 hours of admission for all patients:</w:t>
      </w:r>
    </w:p>
    <w:p>
      <w:pPr>
        <w:pStyle w:val="ListParagraph"/>
        <w:numPr>
          <w:ilvl w:val="0"/>
          <w:numId w:val="2"/>
        </w:numPr>
      </w:pPr>
      <w:r>
        <w:t xml:space="preserve">Anticipated discharge destination and social support system</w:t>
      </w:r>
    </w:p>
    <w:p>
      <w:pPr>
        <w:pStyle w:val="ListParagraph"/>
        <w:numPr>
          <w:ilvl w:val="0"/>
          <w:numId w:val="2"/>
        </w:numPr>
      </w:pPr>
      <w:r>
        <w:t xml:space="preserve">Insurance coverage and prior authorisations required</w:t>
      </w:r>
    </w:p>
    <w:p>
      <w:pPr>
        <w:pStyle w:val="ListParagraph"/>
        <w:numPr>
          <w:ilvl w:val="0"/>
          <w:numId w:val="2"/>
        </w:numPr>
      </w:pPr>
      <w:r>
        <w:t xml:space="preserve">Functional status and ADL (activities of daily living) assessment</w:t>
      </w:r>
    </w:p>
    <w:p>
      <w:pPr>
        <w:pStyle w:val="ListParagraph"/>
        <w:numPr>
          <w:ilvl w:val="0"/>
          <w:numId w:val="2"/>
        </w:numPr>
      </w:pPr>
      <w:r>
        <w:t xml:space="preserve">Cognitive status and capacity for self-care</w:t>
      </w:r>
    </w:p>
    <w:p>
      <w:pPr>
        <w:pStyle w:val="ListParagraph"/>
        <w:numPr>
          <w:ilvl w:val="0"/>
          <w:numId w:val="2"/>
        </w:numPr>
      </w:pPr>
      <w:r>
        <w:t xml:space="preserve">Home environment safety assessment</w:t>
      </w:r>
    </w:p>
    <w:p>
      <w:pPr>
        <w:pStyle w:val="ListParagraph"/>
        <w:numPr>
          <w:ilvl w:val="0"/>
          <w:numId w:val="2"/>
        </w:numPr>
      </w:pPr>
      <w:r>
        <w:t xml:space="preserve">Need for post-acute services: Home health, SNF, inpatient rehab, LTACH</w:t>
      </w:r>
    </w:p>
    <w:p>
      <w:r>
        <w:t xml:space="preserve"/>
      </w:r>
    </w:p>
    <w:p>
      <w:pPr>
        <w:pStyle w:val="Heading2"/>
      </w:pPr>
      <w:r>
        <w:t xml:space="preserve">3. Discharge Destination Criteria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3900"/>
        <w:gridCol w:w="312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Destination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Clinical Criteria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Common Services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Home (independent)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Medically stable, functional independence, caregiver support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None required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Home + Home Health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Skilled need (wound care, IV therapy, PT/OT) + homebound status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RN visits, PT, OT, SLP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Skilled Nursing Facility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Daily skilled care need, not ready for home, Medicare SNF criteria met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24-hr nursing, therapy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Inpatient Rehab (IPR)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Able to tolerate 3 hours of therapy/day, rehabilitation potential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PT, OT, SLP, nursing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Long-Term Acute Care (LTACH)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Medically complex, &gt;25 day average LOS expected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Ventilator weaning, complex wound care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Hospice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Prognosis ≤6 months, goals shifted to comfort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Comfort-focused interdisciplinary care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4. Discharge Planning Process</w:t>
      </w:r>
    </w:p>
    <w:p>
      <w:pPr>
        <w:pStyle w:val="Heading3"/>
      </w:pPr>
      <w:r>
        <w:t xml:space="preserve">4.1 Daily Interdisciplinary Rounds</w:t>
      </w:r>
    </w:p>
    <w:p>
      <w:r>
        <w:t xml:space="preserve">The care management team participates in daily rounds with the physician team to review:</w:t>
      </w:r>
    </w:p>
    <w:p>
      <w:pPr>
        <w:pStyle w:val="ListParagraph"/>
        <w:numPr>
          <w:ilvl w:val="0"/>
          <w:numId w:val="2"/>
        </w:numPr>
      </w:pPr>
      <w:r>
        <w:t xml:space="preserve">Anticipated discharge date and any barriers to discharge</w:t>
      </w:r>
    </w:p>
    <w:p>
      <w:pPr>
        <w:pStyle w:val="ListParagraph"/>
        <w:numPr>
          <w:ilvl w:val="0"/>
          <w:numId w:val="2"/>
        </w:numPr>
      </w:pPr>
      <w:r>
        <w:t xml:space="preserve">Post-acute care needs and insurance authorisation status</w:t>
      </w:r>
    </w:p>
    <w:p>
      <w:pPr>
        <w:pStyle w:val="ListParagraph"/>
        <w:numPr>
          <w:ilvl w:val="0"/>
          <w:numId w:val="2"/>
        </w:numPr>
      </w:pPr>
      <w:r>
        <w:t xml:space="preserve">Patient and family goals and preferences</w:t>
      </w:r>
    </w:p>
    <w:p>
      <w:pPr>
        <w:pStyle w:val="ListParagraph"/>
        <w:numPr>
          <w:ilvl w:val="0"/>
          <w:numId w:val="2"/>
        </w:numPr>
      </w:pPr>
      <w:r>
        <w:t xml:space="preserve">Social determinants of health affecting the discharge plan</w:t>
      </w:r>
    </w:p>
    <w:p>
      <w:r>
        <w:t xml:space="preserve"/>
      </w:r>
    </w:p>
    <w:p>
      <w:pPr>
        <w:pStyle w:val="Heading3"/>
      </w:pPr>
      <w:r>
        <w:t xml:space="preserve">4.2 Discharge Readiness Criteria</w:t>
      </w:r>
    </w:p>
    <w:p>
      <w:r>
        <w:t xml:space="preserve">Before discharge, all of the following must be confirmed:</w:t>
      </w:r>
    </w:p>
    <w:p>
      <w:pPr>
        <w:pStyle w:val="ListParagraph"/>
        <w:numPr>
          <w:ilvl w:val="0"/>
          <w:numId w:val="3"/>
        </w:numPr>
      </w:pPr>
      <w:r>
        <w:t xml:space="preserve">Patient and/or caregiver understands the discharge plan and verbalize it back</w:t>
      </w:r>
    </w:p>
    <w:p>
      <w:pPr>
        <w:pStyle w:val="ListParagraph"/>
        <w:numPr>
          <w:ilvl w:val="0"/>
          <w:numId w:val="3"/>
        </w:numPr>
      </w:pPr>
      <w:r>
        <w:t xml:space="preserve">All prescriptions written and patient has ability to obtain medications</w:t>
      </w:r>
    </w:p>
    <w:p>
      <w:pPr>
        <w:pStyle w:val="ListParagraph"/>
        <w:numPr>
          <w:ilvl w:val="0"/>
          <w:numId w:val="3"/>
        </w:numPr>
      </w:pPr>
      <w:r>
        <w:t xml:space="preserve">Follow-up appointments scheduled (primary care within 7 days for high-risk patients)</w:t>
      </w:r>
    </w:p>
    <w:p>
      <w:pPr>
        <w:pStyle w:val="ListParagraph"/>
        <w:numPr>
          <w:ilvl w:val="0"/>
          <w:numId w:val="3"/>
        </w:numPr>
      </w:pPr>
      <w:r>
        <w:t xml:space="preserve">Durable medical equipment delivered to home if required</w:t>
      </w:r>
    </w:p>
    <w:p>
      <w:pPr>
        <w:pStyle w:val="ListParagraph"/>
        <w:numPr>
          <w:ilvl w:val="0"/>
          <w:numId w:val="3"/>
        </w:numPr>
      </w:pPr>
      <w:r>
        <w:t xml:space="preserve">Home health agency notified and start of care scheduled</w:t>
      </w:r>
    </w:p>
    <w:p>
      <w:pPr>
        <w:pStyle w:val="ListParagraph"/>
        <w:numPr>
          <w:ilvl w:val="0"/>
          <w:numId w:val="3"/>
        </w:numPr>
      </w:pPr>
      <w:r>
        <w:t xml:space="preserve">Discharge summary dictated or available in EHR for receiving providers</w:t>
      </w:r>
    </w:p>
    <w:p>
      <w:pPr>
        <w:pStyle w:val="ListParagraph"/>
        <w:numPr>
          <w:ilvl w:val="0"/>
          <w:numId w:val="3"/>
        </w:numPr>
      </w:pPr>
      <w:r>
        <w:t xml:space="preserve">Teach-back education completed and documented</w:t>
      </w:r>
    </w:p>
    <w:p>
      <w:r>
        <w:t xml:space="preserve"/>
      </w:r>
    </w:p>
    <w:p>
      <w:pPr>
        <w:pStyle w:val="Heading2"/>
      </w:pPr>
      <w:r>
        <w:t xml:space="preserve">5. Avoidable Readmission Prevention</w:t>
      </w:r>
    </w:p>
    <w:p>
      <w:r>
        <w:t xml:space="preserve">High-risk patients (identified by LACE Index or HOSPITAL score) receive enhanced transition support:</w:t>
      </w:r>
    </w:p>
    <w:p>
      <w:pPr>
        <w:pStyle w:val="ListParagraph"/>
        <w:numPr>
          <w:ilvl w:val="0"/>
          <w:numId w:val="2"/>
        </w:numPr>
      </w:pPr>
      <w:r>
        <w:t xml:space="preserve">Transitional Care Nurse phone call within 48-72 hours of discharge</w:t>
      </w:r>
    </w:p>
    <w:p>
      <w:pPr>
        <w:pStyle w:val="ListParagraph"/>
        <w:numPr>
          <w:ilvl w:val="0"/>
          <w:numId w:val="2"/>
        </w:numPr>
      </w:pPr>
      <w:r>
        <w:t xml:space="preserve">Bridge appointments with primary care within 3-5 business days</w:t>
      </w:r>
    </w:p>
    <w:p>
      <w:pPr>
        <w:pStyle w:val="ListParagraph"/>
        <w:numPr>
          <w:ilvl w:val="0"/>
          <w:numId w:val="2"/>
        </w:numPr>
      </w:pPr>
      <w:r>
        <w:t xml:space="preserve">Medication reconciliation phone call for patients on high-risk medications</w:t>
      </w:r>
    </w:p>
    <w:p>
      <w:pPr>
        <w:pStyle w:val="ListParagraph"/>
        <w:numPr>
          <w:ilvl w:val="0"/>
          <w:numId w:val="2"/>
        </w:numPr>
      </w:pPr>
      <w:r>
        <w:t xml:space="preserve">Remote patient monitoring for CHF, COPD, and post-surgical patients when applicable</w:t>
      </w:r>
    </w:p>
    <w:p>
      <w:r>
        <w:t xml:space="preserve"/>
      </w:r>
    </w:p>
    <w:p>
      <w:pPr>
        <w:pStyle w:val="Heading2"/>
      </w:pPr>
      <w:r>
        <w:t xml:space="preserve">6. Care Management Contacts</w:t>
      </w:r>
    </w:p>
    <w:p>
      <w:pPr>
        <w:pStyle w:val="ListParagraph"/>
        <w:numPr>
          <w:ilvl w:val="0"/>
          <w:numId w:val="2"/>
        </w:numPr>
      </w:pPr>
      <w:r>
        <w:t xml:space="preserve">Case Management: casemanagement@riversidemedical.org | ext. 4800</w:t>
      </w:r>
    </w:p>
    <w:p>
      <w:pPr>
        <w:pStyle w:val="ListParagraph"/>
        <w:numPr>
          <w:ilvl w:val="0"/>
          <w:numId w:val="2"/>
        </w:numPr>
      </w:pPr>
      <w:r>
        <w:t xml:space="preserve">Social Work: socialwork@riversidemedical.org | ext. 4810</w:t>
      </w:r>
    </w:p>
    <w:p>
      <w:pPr>
        <w:pStyle w:val="ListParagraph"/>
        <w:numPr>
          <w:ilvl w:val="0"/>
          <w:numId w:val="2"/>
        </w:numPr>
      </w:pPr>
      <w:r>
        <w:t xml:space="preserve">Home Health Referrals: homehealth@riversidemedical.org | ext. 4820</w:t>
      </w:r>
    </w:p>
    <w:p>
      <w:pPr>
        <w:pStyle w:val="ListParagraph"/>
        <w:numPr>
          <w:ilvl w:val="0"/>
          <w:numId w:val="2"/>
        </w:numPr>
      </w:pPr>
      <w:r>
        <w:t xml:space="preserve">SNF Placement: snfplacement@riversidemedical.org | ext. 4830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A527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1618C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2874A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2026-05-18T16:16:34.032Z</dcterms:created>
  <dcterms:modified xsi:type="dcterms:W3CDTF">2026-05-18T16:16:34.032Z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