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t xml:space="preserve">Employee Benefits Guide — Riverside Medical Center 2025</w:t>
      </w:r>
    </w:p>
    <w:p>
      <w:r>
        <w:rPr>
          <w:i/>
          <w:iCs/>
          <w:color w:val="666666"/>
        </w:rPr>
        <w:t xml:space="preserve">Human Resources | Benefits Year January 1 – December 31, 2025 | Questions: hr@riversidemedical.org</w:t>
      </w:r>
    </w:p>
    <w:p>
      <w:r>
        <w:t xml:space="preserve"/>
      </w:r>
    </w:p>
    <w:p>
      <w:pPr>
        <w:pStyle w:val="Heading2"/>
      </w:pPr>
      <w:r>
        <w:t xml:space="preserve">1. Health Insurance Options</w:t>
      </w:r>
    </w:p>
    <w:p>
      <w:r>
        <w:t xml:space="preserve">Riverside Medical Center partners with Aetna and Kaiser Permanente to offer comprehensive health coverage.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Plan</w:t>
            </w:r>
          </w:p>
        </w:tc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Type</w:t>
            </w:r>
          </w:p>
        </w:tc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Deductible</w:t>
            </w:r>
          </w:p>
        </w:tc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Employee Premium/Mo</w:t>
            </w:r>
          </w:p>
        </w:tc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RMC Contribution</w:t>
            </w:r>
          </w:p>
        </w:tc>
      </w:tr>
      <w:tr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Aetna Select</w:t>
            </w:r>
          </w:p>
        </w:tc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PPO</w:t>
            </w:r>
          </w:p>
        </w:tc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$500/$1,000</w:t>
            </w:r>
          </w:p>
        </w:tc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$210</w:t>
            </w:r>
          </w:p>
        </w:tc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85%</w:t>
            </w:r>
          </w:p>
        </w:tc>
      </w:tr>
      <w:tr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Aetna Choice</w:t>
            </w:r>
          </w:p>
        </w:tc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PPO</w:t>
            </w:r>
          </w:p>
        </w:tc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$1,500/$3,000</w:t>
            </w:r>
          </w:p>
        </w:tc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$140</w:t>
            </w:r>
          </w:p>
        </w:tc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80%</w:t>
            </w:r>
          </w:p>
        </w:tc>
      </w:tr>
      <w:tr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Kaiser HMO</w:t>
            </w:r>
          </w:p>
        </w:tc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HMO</w:t>
            </w:r>
          </w:p>
        </w:tc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$250/$500</w:t>
            </w:r>
          </w:p>
        </w:tc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$175</w:t>
            </w:r>
          </w:p>
        </w:tc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85%</w:t>
            </w:r>
          </w:p>
        </w:tc>
      </w:tr>
      <w:tr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HDHP + HSA</w:t>
            </w:r>
          </w:p>
        </w:tc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HDHP</w:t>
            </w:r>
          </w:p>
        </w:tc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$2,800/$5,600</w:t>
            </w:r>
          </w:p>
        </w:tc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$65</w:t>
            </w:r>
          </w:p>
        </w:tc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75% + $750 HSA seed</w:t>
            </w:r>
          </w:p>
        </w:tc>
      </w:tr>
    </w:tbl>
    <w:p>
      <w:r>
        <w:t xml:space="preserve"/>
      </w:r>
    </w:p>
    <w:p>
      <w:pPr>
        <w:pStyle w:val="Heading2"/>
      </w:pPr>
      <w:r>
        <w:t xml:space="preserve">2. Retirement — 403(b) Plan</w:t>
      </w:r>
    </w:p>
    <w:p>
      <w:r>
        <w:t xml:space="preserve">As a non-profit healthcare organization, Riverside Medical Center offers a 403(b) retirement plan through Vanguard.</w:t>
      </w:r>
    </w:p>
    <w:p>
      <w:pPr>
        <w:pStyle w:val="ListParagraph"/>
        <w:numPr>
          <w:ilvl w:val="0"/>
          <w:numId w:val="2"/>
        </w:numPr>
      </w:pPr>
      <w:r>
        <w:t xml:space="preserve">Employee contribution limit: $23,000 per year (2025 limit); catch-up $7,500 for age 50+</w:t>
      </w:r>
    </w:p>
    <w:p>
      <w:pPr>
        <w:pStyle w:val="ListParagraph"/>
        <w:numPr>
          <w:ilvl w:val="0"/>
          <w:numId w:val="2"/>
        </w:numPr>
      </w:pPr>
      <w:r>
        <w:t xml:space="preserve">RMC match: 100% of first 3%, 50% of next 3% — maximum 4.5% match</w:t>
      </w:r>
    </w:p>
    <w:p>
      <w:pPr>
        <w:pStyle w:val="ListParagraph"/>
        <w:numPr>
          <w:ilvl w:val="0"/>
          <w:numId w:val="2"/>
        </w:numPr>
      </w:pPr>
      <w:r>
        <w:t xml:space="preserve">Vesting: Immediate vesting for employee contributions; RMC match vests 20%/year (5 years)</w:t>
      </w:r>
    </w:p>
    <w:p>
      <w:pPr>
        <w:pStyle w:val="ListParagraph"/>
        <w:numPr>
          <w:ilvl w:val="0"/>
          <w:numId w:val="2"/>
        </w:numPr>
      </w:pPr>
      <w:r>
        <w:t xml:space="preserve">Pension Plan: Employees hired before 2015 also participate in the legacy defined benefit plan</w:t>
      </w:r>
    </w:p>
    <w:p>
      <w:pPr>
        <w:pStyle w:val="ListParagraph"/>
        <w:numPr>
          <w:ilvl w:val="0"/>
          <w:numId w:val="2"/>
        </w:numPr>
      </w:pPr>
      <w:r>
        <w:t xml:space="preserve">Financial counseling: Free annual session with a Vanguard advisor (schedule via HR portal)</w:t>
      </w:r>
    </w:p>
    <w:p>
      <w:r>
        <w:t xml:space="preserve"/>
      </w:r>
    </w:p>
    <w:p>
      <w:pPr>
        <w:pStyle w:val="Heading2"/>
      </w:pPr>
      <w:r>
        <w:t xml:space="preserve">3. Paid Time Off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1755"/>
        <w:gridCol w:w="1755"/>
        <w:gridCol w:w="1755"/>
        <w:gridCol w:w="1755"/>
      </w:tblGrid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Employee Category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Annual PTO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Extended Illness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Holidays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CME Days (Clinical)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Non-clinical, &lt;3 yrs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18 days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10 days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9 days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N/A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Non-clinical, 3-10 yrs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23 days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10 days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9 days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N/A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Clinical staff, &lt;5 yrs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20 days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10 days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9 days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5 days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Clinical staff, 5+ yrs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25 days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10 days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9 days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5 days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Physicians/APPs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25 days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14 days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9 days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7 days</w:t>
            </w:r>
          </w:p>
        </w:tc>
      </w:tr>
    </w:tbl>
    <w:p>
      <w:r>
        <w:t xml:space="preserve"/>
      </w:r>
    </w:p>
    <w:p>
      <w:pPr>
        <w:pStyle w:val="Heading2"/>
      </w:pPr>
      <w:r>
        <w:t xml:space="preserve">4. Loan Repayment &amp; Tuition Benefits</w:t>
      </w:r>
    </w:p>
    <w:p>
      <w:pPr>
        <w:pStyle w:val="ListParagraph"/>
        <w:numPr>
          <w:ilvl w:val="0"/>
          <w:numId w:val="2"/>
        </w:numPr>
      </w:pPr>
      <w:r>
        <w:t xml:space="preserve">Student Loan Repayment: Clinical staff in qualifying shortage areas — up to $15,000/year via NHSC</w:t>
      </w:r>
    </w:p>
    <w:p>
      <w:pPr>
        <w:pStyle w:val="ListParagraph"/>
        <w:numPr>
          <w:ilvl w:val="0"/>
          <w:numId w:val="2"/>
        </w:numPr>
      </w:pPr>
      <w:r>
        <w:t xml:space="preserve">Public Service Loan Forgiveness (PSLF): RMC qualifies as a 501(c)(3) employer; HR assists with employer certification</w:t>
      </w:r>
    </w:p>
    <w:p>
      <w:pPr>
        <w:pStyle w:val="ListParagraph"/>
        <w:numPr>
          <w:ilvl w:val="0"/>
          <w:numId w:val="2"/>
        </w:numPr>
      </w:pPr>
      <w:r>
        <w:t xml:space="preserve">Tuition reimbursement: Up to $8,000/year for job-related degree programs (B or better)</w:t>
      </w:r>
    </w:p>
    <w:p>
      <w:pPr>
        <w:pStyle w:val="ListParagraph"/>
        <w:numPr>
          <w:ilvl w:val="0"/>
          <w:numId w:val="2"/>
        </w:numPr>
      </w:pPr>
      <w:r>
        <w:t xml:space="preserve">Certification support: 100% reimbursement for clinical certifications (CCRN, CEN, etc.)</w:t>
      </w:r>
    </w:p>
    <w:p>
      <w:pPr>
        <w:pStyle w:val="ListParagraph"/>
        <w:numPr>
          <w:ilvl w:val="0"/>
          <w:numId w:val="2"/>
        </w:numPr>
      </w:pPr>
      <w:r>
        <w:t xml:space="preserve">CME allowance: $2,500/year for physicians and APPs for conferences and online courses</w:t>
      </w:r>
    </w:p>
    <w:p>
      <w:r>
        <w:t xml:space="preserve"/>
      </w:r>
    </w:p>
    <w:p>
      <w:pPr>
        <w:pStyle w:val="Heading2"/>
      </w:pPr>
      <w:r>
        <w:t xml:space="preserve">5. Additional Benefits</w:t>
      </w:r>
    </w:p>
    <w:p>
      <w:pPr>
        <w:pStyle w:val="ListParagraph"/>
        <w:numPr>
          <w:ilvl w:val="0"/>
          <w:numId w:val="2"/>
        </w:numPr>
      </w:pPr>
      <w:r>
        <w:t xml:space="preserve">Life Insurance: 1.5x annual salary (employer paid); optional supplemental coverage 1-5x</w:t>
      </w:r>
    </w:p>
    <w:p>
      <w:pPr>
        <w:pStyle w:val="ListParagraph"/>
        <w:numPr>
          <w:ilvl w:val="0"/>
          <w:numId w:val="2"/>
        </w:numPr>
      </w:pPr>
      <w:r>
        <w:t xml:space="preserve">Short-term disability: 70% of salary, 8-week elimination period, up to 6 months</w:t>
      </w:r>
    </w:p>
    <w:p>
      <w:pPr>
        <w:pStyle w:val="ListParagraph"/>
        <w:numPr>
          <w:ilvl w:val="0"/>
          <w:numId w:val="2"/>
        </w:numPr>
      </w:pPr>
      <w:r>
        <w:t xml:space="preserve">Long-term disability: 60% of salary after 6 months, to age 65</w:t>
      </w:r>
    </w:p>
    <w:p>
      <w:pPr>
        <w:pStyle w:val="ListParagraph"/>
        <w:numPr>
          <w:ilvl w:val="0"/>
          <w:numId w:val="2"/>
        </w:numPr>
      </w:pPr>
      <w:r>
        <w:t xml:space="preserve">Employee Assistance Program: 8 free counseling sessions; legal/financial consultation included</w:t>
      </w:r>
    </w:p>
    <w:p>
      <w:pPr>
        <w:pStyle w:val="ListParagraph"/>
        <w:numPr>
          <w:ilvl w:val="0"/>
          <w:numId w:val="2"/>
        </w:numPr>
      </w:pPr>
      <w:r>
        <w:t xml:space="preserve">On-site childcare: Priority enrollment at RMC Childcare Center (subsidized rates for employees)</w:t>
      </w:r>
    </w:p>
    <w:p>
      <w:pPr>
        <w:pStyle w:val="ListParagraph"/>
        <w:numPr>
          <w:ilvl w:val="0"/>
          <w:numId w:val="2"/>
        </w:numPr>
      </w:pPr>
      <w:r>
        <w:t xml:space="preserve">Employee cafeteria discount: 15% discount at all RMC cafeteria locations</w:t>
      </w:r>
    </w:p>
    <w:p>
      <w:pPr>
        <w:pStyle w:val="ListParagraph"/>
        <w:numPr>
          <w:ilvl w:val="0"/>
          <w:numId w:val="2"/>
        </w:numPr>
      </w:pPr>
      <w:r>
        <w:t xml:space="preserve">Gym membership: Reimbursement up to $50/month for eligible fitness memberships</w:t>
      </w:r>
    </w:p>
    <w:p>
      <w:r>
        <w:t xml:space="preserve"/>
      </w:r>
    </w:p>
    <w:p>
      <w:pPr>
        <w:pStyle w:val="Heading2"/>
      </w:pPr>
      <w:r>
        <w:t xml:space="preserve">6. Benefits Contacts</w:t>
      </w:r>
    </w:p>
    <w:p>
      <w:pPr>
        <w:pStyle w:val="ListParagraph"/>
        <w:numPr>
          <w:ilvl w:val="0"/>
          <w:numId w:val="2"/>
        </w:numPr>
      </w:pPr>
      <w:r>
        <w:t xml:space="preserve">HR Benefits Team: hr.benefits@riversidemedical.org | ext. 6500</w:t>
      </w:r>
    </w:p>
    <w:p>
      <w:pPr>
        <w:pStyle w:val="ListParagraph"/>
        <w:numPr>
          <w:ilvl w:val="0"/>
          <w:numId w:val="2"/>
        </w:numPr>
      </w:pPr>
      <w:r>
        <w:t xml:space="preserve">Vanguard 403(b): 1-800-523-1188 | vanguard.com/myplan</w:t>
      </w:r>
    </w:p>
    <w:p>
      <w:pPr>
        <w:pStyle w:val="ListParagraph"/>
        <w:numPr>
          <w:ilvl w:val="0"/>
          <w:numId w:val="2"/>
        </w:numPr>
      </w:pPr>
      <w:r>
        <w:t xml:space="preserve">Aetna Member Services: 1-888-982-3862</w:t>
      </w:r>
    </w:p>
    <w:p>
      <w:pPr>
        <w:pStyle w:val="ListParagraph"/>
        <w:numPr>
          <w:ilvl w:val="0"/>
          <w:numId w:val="2"/>
        </w:numPr>
      </w:pPr>
      <w:r>
        <w:t xml:space="preserve">NHSC Loan Repayment: nhsc.hrsa.gov | HR point of contact: ext. 6510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80" w:before="360"/>
      <w:outlineLvl w:val="0"/>
    </w:pPr>
    <w:rPr>
      <w:rFonts w:ascii="Arial" w:cs="Arial" w:eastAsia="Arial" w:hAnsi="Arial"/>
      <w:b/>
      <w:bCs/>
      <w:color w:val="1A5276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21618C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80" w:before="180"/>
      <w:outlineLvl w:val="2"/>
    </w:pPr>
    <w:rPr>
      <w:rFonts w:ascii="Arial" w:cs="Arial" w:eastAsia="Arial" w:hAnsi="Arial"/>
      <w:b/>
      <w:bCs/>
      <w:color w:val="2874A6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2026-05-18T16:16:34.003Z</dcterms:created>
  <dcterms:modified xsi:type="dcterms:W3CDTF">2026-05-18T16:16:34.003Z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