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HIPAA Security Rule &amp; Electronic PHI Protection Policy</w:t>
      </w:r>
    </w:p>
    <w:p>
      <w:r>
        <w:rPr>
          <w:i/>
          <w:iCs/>
          <w:color w:val="666666"/>
        </w:rPr>
        <w:t xml:space="preserve">Riverside Medical Center | Information Security | Policy No: IS-003 | Effective: March 1, 2025</w:t>
      </w:r>
    </w:p>
    <w:p>
      <w:r>
        <w:t xml:space="preserve"/>
      </w:r>
    </w:p>
    <w:p>
      <w:pPr>
        <w:pStyle w:val="Heading2"/>
      </w:pPr>
      <w:r>
        <w:t xml:space="preserve">1. Administrative Safeguards</w:t>
      </w:r>
    </w:p>
    <w:p>
      <w:pPr>
        <w:pStyle w:val="Heading3"/>
      </w:pPr>
      <w:r>
        <w:t xml:space="preserve">1.1 Access Management</w:t>
      </w:r>
    </w:p>
    <w:p>
      <w:pPr>
        <w:pStyle w:val="ListParagraph"/>
        <w:numPr>
          <w:ilvl w:val="0"/>
          <w:numId w:val="2"/>
        </w:numPr>
      </w:pPr>
      <w:r>
        <w:t xml:space="preserve">All workforce members must have unique system credentials — shared accounts are prohibited</w:t>
      </w:r>
    </w:p>
    <w:p>
      <w:pPr>
        <w:pStyle w:val="ListParagraph"/>
        <w:numPr>
          <w:ilvl w:val="0"/>
          <w:numId w:val="2"/>
        </w:numPr>
      </w:pPr>
      <w:r>
        <w:t xml:space="preserve">Access requests require supervisor approval and are provisioned within 2 business days</w:t>
      </w:r>
    </w:p>
    <w:p>
      <w:pPr>
        <w:pStyle w:val="ListParagraph"/>
        <w:numPr>
          <w:ilvl w:val="0"/>
          <w:numId w:val="2"/>
        </w:numPr>
      </w:pPr>
      <w:r>
        <w:t xml:space="preserve">Access must be reviewed and recertified quarterly by department managers</w:t>
      </w:r>
    </w:p>
    <w:p>
      <w:pPr>
        <w:pStyle w:val="ListParagraph"/>
        <w:numPr>
          <w:ilvl w:val="0"/>
          <w:numId w:val="2"/>
        </w:numPr>
      </w:pPr>
      <w:r>
        <w:t xml:space="preserve">Terminated employees: System access revoked within 1 hour of HR notification</w:t>
      </w:r>
    </w:p>
    <w:p>
      <w:pPr>
        <w:pStyle w:val="ListParagraph"/>
        <w:numPr>
          <w:ilvl w:val="0"/>
          <w:numId w:val="2"/>
        </w:numPr>
      </w:pPr>
      <w:r>
        <w:t xml:space="preserve">Role-Based Access Control (RBAC): Staff may only access ePHI relevant to their job function</w:t>
      </w:r>
    </w:p>
    <w:p>
      <w:r>
        <w:t xml:space="preserve"/>
      </w:r>
    </w:p>
    <w:p>
      <w:pPr>
        <w:pStyle w:val="Heading3"/>
      </w:pPr>
      <w:r>
        <w:t xml:space="preserve">1.2 Workforce Training</w:t>
      </w:r>
    </w:p>
    <w:p>
      <w:pPr>
        <w:pStyle w:val="ListParagraph"/>
        <w:numPr>
          <w:ilvl w:val="0"/>
          <w:numId w:val="2"/>
        </w:numPr>
      </w:pPr>
      <w:r>
        <w:t xml:space="preserve">HIPAA Security awareness: Mandatory for all staff, annually, minimum 60 minutes</w:t>
      </w:r>
    </w:p>
    <w:p>
      <w:pPr>
        <w:pStyle w:val="ListParagraph"/>
        <w:numPr>
          <w:ilvl w:val="0"/>
          <w:numId w:val="2"/>
        </w:numPr>
      </w:pPr>
      <w:r>
        <w:t xml:space="preserve">EHR security training: Required before system access is granted</w:t>
      </w:r>
    </w:p>
    <w:p>
      <w:pPr>
        <w:pStyle w:val="ListParagraph"/>
        <w:numPr>
          <w:ilvl w:val="0"/>
          <w:numId w:val="2"/>
        </w:numPr>
      </w:pPr>
      <w:r>
        <w:t xml:space="preserve">Phishing simulations: Conducted quarterly; failures trigger immediate remedial training</w:t>
      </w:r>
    </w:p>
    <w:p>
      <w:r>
        <w:t xml:space="preserve"/>
      </w:r>
    </w:p>
    <w:p>
      <w:pPr>
        <w:pStyle w:val="Heading2"/>
      </w:pPr>
      <w:r>
        <w:t xml:space="preserve">2. Physical Safeguards</w:t>
      </w:r>
    </w:p>
    <w:p>
      <w:pPr>
        <w:pStyle w:val="ListParagraph"/>
        <w:numPr>
          <w:ilvl w:val="0"/>
          <w:numId w:val="2"/>
        </w:numPr>
      </w:pPr>
      <w:r>
        <w:t xml:space="preserve">Server rooms: Biometric access only, 24/7 CCTV, visitor log maintained</w:t>
      </w:r>
    </w:p>
    <w:p>
      <w:pPr>
        <w:pStyle w:val="ListParagraph"/>
        <w:numPr>
          <w:ilvl w:val="0"/>
          <w:numId w:val="2"/>
        </w:numPr>
      </w:pPr>
      <w:r>
        <w:t xml:space="preserve">Workstations must lock automatically after 5 minutes of inactivity (enforced by GPO)</w:t>
      </w:r>
    </w:p>
    <w:p>
      <w:pPr>
        <w:pStyle w:val="ListParagraph"/>
        <w:numPr>
          <w:ilvl w:val="0"/>
          <w:numId w:val="2"/>
        </w:numPr>
      </w:pPr>
      <w:r>
        <w:t xml:space="preserve">Clean desk policy: No PHI on desks when area is unattended</w:t>
      </w:r>
    </w:p>
    <w:p>
      <w:pPr>
        <w:pStyle w:val="ListParagraph"/>
        <w:numPr>
          <w:ilvl w:val="0"/>
          <w:numId w:val="2"/>
        </w:numPr>
      </w:pPr>
      <w:r>
        <w:t xml:space="preserve">Printers with PHI: Retrieved immediately — not left in output tray</w:t>
      </w:r>
    </w:p>
    <w:p>
      <w:pPr>
        <w:pStyle w:val="ListParagraph"/>
        <w:numPr>
          <w:ilvl w:val="0"/>
          <w:numId w:val="2"/>
        </w:numPr>
      </w:pPr>
      <w:r>
        <w:t xml:space="preserve">Visitor policy: Visitors in clinical areas must be escorted at all times</w:t>
      </w:r>
    </w:p>
    <w:p>
      <w:r>
        <w:t xml:space="preserve"/>
      </w:r>
    </w:p>
    <w:p>
      <w:pPr>
        <w:pStyle w:val="Heading2"/>
      </w:pPr>
      <w:r>
        <w:t xml:space="preserve">3. Technical Safeguards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3900"/>
        <w:gridCol w:w="3120"/>
      </w:tblGrid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Control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Standard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527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Applies To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Encryption at Rest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AES-256 required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All devices storing ePHI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Encryption in Transit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TLS 1.2 or higher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All ePHI transmissions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Audit Controls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Full access logging retained 6 years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All EHR and PHI systems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Integrity Controls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Digital signatures and checksums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AF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ePHI modifications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Authentication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MFA required for all remote access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VPN, remote desktop, email</w:t>
            </w:r>
          </w:p>
        </w:tc>
      </w:tr>
    </w:tbl>
    <w:p>
      <w:r>
        <w:t xml:space="preserve"/>
      </w:r>
    </w:p>
    <w:p>
      <w:pPr>
        <w:pStyle w:val="Heading2"/>
      </w:pPr>
      <w:r>
        <w:t xml:space="preserve">4. Permitted ePHI Transmissions</w:t>
      </w:r>
    </w:p>
    <w:p>
      <w:r>
        <w:t xml:space="preserve">ePHI may only be transmitted through approved secure channels:</w:t>
      </w:r>
    </w:p>
    <w:p>
      <w:pPr>
        <w:pStyle w:val="ListParagraph"/>
        <w:numPr>
          <w:ilvl w:val="0"/>
          <w:numId w:val="2"/>
        </w:numPr>
      </w:pPr>
      <w:r>
        <w:t xml:space="preserve">Secure messaging: TigerConnect (hospital approved platform) — not standard SMS</w:t>
      </w:r>
    </w:p>
    <w:p>
      <w:pPr>
        <w:pStyle w:val="ListParagraph"/>
        <w:numPr>
          <w:ilvl w:val="0"/>
          <w:numId w:val="2"/>
        </w:numPr>
      </w:pPr>
      <w:r>
        <w:t xml:space="preserve">Fax: Confirmation page required; dedicated fax machines in secure areas only</w:t>
      </w:r>
    </w:p>
    <w:p>
      <w:pPr>
        <w:pStyle w:val="ListParagraph"/>
        <w:numPr>
          <w:ilvl w:val="0"/>
          <w:numId w:val="2"/>
        </w:numPr>
      </w:pPr>
      <w:r>
        <w:t xml:space="preserve">Email: Only through hospital email with encryption enabled; patient email requires consent</w:t>
      </w:r>
    </w:p>
    <w:p>
      <w:pPr>
        <w:pStyle w:val="ListParagraph"/>
        <w:numPr>
          <w:ilvl w:val="0"/>
          <w:numId w:val="2"/>
        </w:numPr>
      </w:pPr>
      <w:r>
        <w:t xml:space="preserve">External providers: Via Direct Secure Messaging or EHR-to-EHR interface</w:t>
      </w:r>
    </w:p>
    <w:p>
      <w:pPr>
        <w:pStyle w:val="ListParagraph"/>
        <w:numPr>
          <w:ilvl w:val="0"/>
          <w:numId w:val="2"/>
        </w:numPr>
      </w:pPr>
      <w:r>
        <w:t xml:space="preserve">Not permitted: Personal email, WhatsApp, standard SMS, or unauthorized cloud storage</w:t>
      </w:r>
    </w:p>
    <w:p>
      <w:r>
        <w:t xml:space="preserve"/>
      </w:r>
    </w:p>
    <w:p>
      <w:pPr>
        <w:pStyle w:val="Heading2"/>
      </w:pPr>
      <w:r>
        <w:t xml:space="preserve">5. Mobile Device Policy</w:t>
      </w:r>
    </w:p>
    <w:p>
      <w:pPr>
        <w:pStyle w:val="ListParagraph"/>
        <w:numPr>
          <w:ilvl w:val="0"/>
          <w:numId w:val="2"/>
        </w:numPr>
      </w:pPr>
      <w:r>
        <w:t xml:space="preserve">Personal devices may not access ePHI without enrollment in Mobile Device Management (MDM)</w:t>
      </w:r>
    </w:p>
    <w:p>
      <w:pPr>
        <w:pStyle w:val="ListParagraph"/>
        <w:numPr>
          <w:ilvl w:val="0"/>
          <w:numId w:val="2"/>
        </w:numPr>
      </w:pPr>
      <w:r>
        <w:t xml:space="preserve">MDM enrollment requires IT Security approval and supervisor sign-off</w:t>
      </w:r>
    </w:p>
    <w:p>
      <w:pPr>
        <w:pStyle w:val="ListParagraph"/>
        <w:numPr>
          <w:ilvl w:val="0"/>
          <w:numId w:val="2"/>
        </w:numPr>
      </w:pPr>
      <w:r>
        <w:t xml:space="preserve">MDM-enrolled devices: Remote wipe capability; must accept monitoring</w:t>
      </w:r>
    </w:p>
    <w:p>
      <w:pPr>
        <w:pStyle w:val="ListParagraph"/>
        <w:numPr>
          <w:ilvl w:val="0"/>
          <w:numId w:val="2"/>
        </w:numPr>
      </w:pPr>
      <w:r>
        <w:t xml:space="preserve">Lost or stolen device: Report to IT Security immediately — remote wipe initiated</w:t>
      </w:r>
    </w:p>
    <w:p>
      <w:pPr>
        <w:pStyle w:val="ListParagraph"/>
        <w:numPr>
          <w:ilvl w:val="0"/>
          <w:numId w:val="2"/>
        </w:numPr>
      </w:pPr>
      <w:r>
        <w:t xml:space="preserve">Camera use in clinical areas: Prohibited without explicit patient consent and clinical necessity</w:t>
      </w:r>
    </w:p>
    <w:p>
      <w:r>
        <w:t xml:space="preserve"/>
      </w:r>
    </w:p>
    <w:p>
      <w:pPr>
        <w:pStyle w:val="Heading2"/>
      </w:pPr>
      <w:r>
        <w:t xml:space="preserve">6. Security Incident Response</w:t>
      </w:r>
    </w:p>
    <w:p>
      <w:pPr>
        <w:pStyle w:val="ListParagraph"/>
        <w:numPr>
          <w:ilvl w:val="0"/>
          <w:numId w:val="2"/>
        </w:numPr>
      </w:pPr>
      <w:r>
        <w:t xml:space="preserve">Suspected ePHI breach: Immediately notify the Security Officer (ext. 2500) and Privacy Officer (ext. 2400)</w:t>
      </w:r>
    </w:p>
    <w:p>
      <w:pPr>
        <w:pStyle w:val="ListParagraph"/>
        <w:numPr>
          <w:ilvl w:val="0"/>
          <w:numId w:val="2"/>
        </w:numPr>
      </w:pPr>
      <w:r>
        <w:t xml:space="preserve">Ransomware/malware: Disconnect device from network immediately, do not power off</w:t>
      </w:r>
    </w:p>
    <w:p>
      <w:pPr>
        <w:pStyle w:val="ListParagraph"/>
        <w:numPr>
          <w:ilvl w:val="0"/>
          <w:numId w:val="2"/>
        </w:numPr>
      </w:pPr>
      <w:r>
        <w:t xml:space="preserve">Phishing email: Forward to security@riversidemedical.org — do not click links or attachments</w:t>
      </w:r>
    </w:p>
    <w:p>
      <w:pPr>
        <w:pStyle w:val="ListParagraph"/>
        <w:numPr>
          <w:ilvl w:val="0"/>
          <w:numId w:val="2"/>
        </w:numPr>
      </w:pPr>
      <w:r>
        <w:t xml:space="preserve">Response team activated within 1 hour of confirmed security incident</w:t>
      </w:r>
    </w:p>
    <w:p>
      <w:r>
        <w:t xml:space="preserve"/>
      </w:r>
    </w:p>
    <w:p>
      <w:pPr>
        <w:pStyle w:val="Heading2"/>
      </w:pPr>
      <w:r>
        <w:t xml:space="preserve">7. Security Contacts</w:t>
      </w:r>
    </w:p>
    <w:p>
      <w:pPr>
        <w:pStyle w:val="ListParagraph"/>
        <w:numPr>
          <w:ilvl w:val="0"/>
          <w:numId w:val="2"/>
        </w:numPr>
      </w:pPr>
      <w:r>
        <w:t xml:space="preserve">Chief Information Security Officer: ciso@riversidemedical.org | ext. 2500</w:t>
      </w:r>
    </w:p>
    <w:p>
      <w:pPr>
        <w:pStyle w:val="ListParagraph"/>
        <w:numPr>
          <w:ilvl w:val="0"/>
          <w:numId w:val="2"/>
        </w:numPr>
      </w:pPr>
      <w:r>
        <w:t xml:space="preserve">IT Security Help Desk (24/7): itsecurity@riversidemedical.org | ext. 2510</w:t>
      </w:r>
    </w:p>
    <w:p>
      <w:pPr>
        <w:pStyle w:val="ListParagraph"/>
        <w:numPr>
          <w:ilvl w:val="0"/>
          <w:numId w:val="2"/>
        </w:numPr>
      </w:pPr>
      <w:r>
        <w:t xml:space="preserve">Security Incident Hotline: 1-800-RMC-SECU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60"/>
      <w:outlineLvl w:val="0"/>
    </w:pPr>
    <w:rPr>
      <w:rFonts w:ascii="Arial" w:cs="Arial" w:eastAsia="Arial" w:hAnsi="Arial"/>
      <w:b/>
      <w:bCs/>
      <w:color w:val="1A5276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1618C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2874A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2026-05-18T16:16:33.932Z</dcterms:created>
  <dcterms:modified xsi:type="dcterms:W3CDTF">2026-05-18T16:16:33.932Z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