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Medication Administration Protocol &amp; Safety Guidelines</w:t>
      </w:r>
    </w:p>
    <w:p>
      <w:r>
        <w:rPr>
          <w:i/>
          <w:iCs/>
          <w:color w:val="666666"/>
        </w:rPr>
        <w:t xml:space="preserve">Riverside Medical Center | Nursing &amp; Clinical Operations | Protocol No: NUR-002 | Version 4.1</w:t>
      </w:r>
    </w:p>
    <w:p>
      <w:r>
        <w:t xml:space="preserve"/>
      </w:r>
    </w:p>
    <w:p>
      <w:pPr>
        <w:pStyle w:val="Heading2"/>
      </w:pPr>
      <w:r>
        <w:t xml:space="preserve">1. The Five Rights of Medication Administration</w:t>
      </w:r>
    </w:p>
    <w:p>
      <w:r>
        <w:t xml:space="preserve">All medication administration at Riverside Medical Center must follow the Five Rights. Verify each right before every administration: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55"/>
        <w:gridCol w:w="3900"/>
        <w:gridCol w:w="3705"/>
      </w:tblGrid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Right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Verification Method</w:t>
            </w:r>
          </w:p>
        </w:tc>
        <w:tc>
          <w:tcPr>
            <w:tcW w:type="dxa" w:w="37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Common Errors to Avoid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Right Patient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Scan wristband + verbal confirmation of full name and DOB</w:t>
            </w:r>
          </w:p>
        </w:tc>
        <w:tc>
          <w:tcPr>
            <w:tcW w:type="dxa" w:w="37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Assuming patient identity, room number only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Right Medication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Check MAR, read label 3 times: prepare, pour, administer</w:t>
            </w:r>
          </w:p>
        </w:tc>
        <w:tc>
          <w:tcPr>
            <w:tcW w:type="dxa" w:w="37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Sound-alike/look-alike drug confusion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Right Dose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Calculate independently, use pharmacy calculator for high-alert drugs</w:t>
            </w:r>
          </w:p>
        </w:tc>
        <w:tc>
          <w:tcPr>
            <w:tcW w:type="dxa" w:w="37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Decimal point errors, unit confusion (mg vs mcg)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Right Route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Confirm route in MAR and on medication label</w:t>
            </w:r>
          </w:p>
        </w:tc>
        <w:tc>
          <w:tcPr>
            <w:tcW w:type="dxa" w:w="37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Oral vs. sublingual, IV vs. IM confusion</w:t>
            </w:r>
          </w:p>
        </w:tc>
      </w:tr>
      <w:tr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Right Time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Administer within 30 minutes before/after scheduled time</w:t>
            </w:r>
          </w:p>
        </w:tc>
        <w:tc>
          <w:tcPr>
            <w:tcW w:type="dxa" w:w="37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Early/late administration, missed doses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2. High-Alert Medications — Double Check Required</w:t>
      </w:r>
    </w:p>
    <w:p>
      <w:r>
        <w:t xml:space="preserve">The following medications require an independent double-check by a second licensed nurse before administration:</w:t>
      </w:r>
    </w:p>
    <w:p>
      <w:pPr>
        <w:pStyle w:val="ListParagraph"/>
        <w:numPr>
          <w:ilvl w:val="0"/>
          <w:numId w:val="2"/>
        </w:numPr>
      </w:pPr>
      <w:r>
        <w:t xml:space="preserve">Insulin (all types): Verify type, dose, concentration, route, and pump settings</w:t>
      </w:r>
    </w:p>
    <w:p>
      <w:pPr>
        <w:pStyle w:val="ListParagraph"/>
        <w:numPr>
          <w:ilvl w:val="0"/>
          <w:numId w:val="2"/>
        </w:numPr>
      </w:pPr>
      <w:r>
        <w:t xml:space="preserve">Anticoagulants: Heparin, warfarin, enoxaparin — verify dose, weight-based calculations</w:t>
      </w:r>
    </w:p>
    <w:p>
      <w:pPr>
        <w:pStyle w:val="ListParagraph"/>
        <w:numPr>
          <w:ilvl w:val="0"/>
          <w:numId w:val="2"/>
        </w:numPr>
      </w:pPr>
      <w:r>
        <w:t xml:space="preserve">Opioids: IV morphine, hydromorphone, fentanyl — verify dose and infusion rate</w:t>
      </w:r>
    </w:p>
    <w:p>
      <w:pPr>
        <w:pStyle w:val="ListParagraph"/>
        <w:numPr>
          <w:ilvl w:val="0"/>
          <w:numId w:val="2"/>
        </w:numPr>
      </w:pPr>
      <w:r>
        <w:t xml:space="preserve">Electrolyte concentrations: IV potassium, hypertonic saline</w:t>
      </w:r>
    </w:p>
    <w:p>
      <w:pPr>
        <w:pStyle w:val="ListParagraph"/>
        <w:numPr>
          <w:ilvl w:val="0"/>
          <w:numId w:val="2"/>
        </w:numPr>
      </w:pPr>
      <w:r>
        <w:t xml:space="preserve">Chemotherapy agents: All cytotoxic medications require pharmacy and nursing double-check</w:t>
      </w:r>
    </w:p>
    <w:p>
      <w:pPr>
        <w:pStyle w:val="ListParagraph"/>
        <w:numPr>
          <w:ilvl w:val="0"/>
          <w:numId w:val="2"/>
        </w:numPr>
      </w:pPr>
      <w:r>
        <w:t xml:space="preserve">Neuromuscular blocking agents: Verify patient is on mechanical ventilation before administration</w:t>
      </w:r>
    </w:p>
    <w:p>
      <w:r>
        <w:t xml:space="preserve"/>
      </w:r>
    </w:p>
    <w:p>
      <w:r>
        <w:t xml:space="preserve">Document the double-check in the EHR, including the co-checking nurse's name and employee ID.</w:t>
      </w:r>
    </w:p>
    <w:p>
      <w:r>
        <w:t xml:space="preserve"/>
      </w:r>
    </w:p>
    <w:p>
      <w:pPr>
        <w:pStyle w:val="Heading2"/>
      </w:pPr>
      <w:r>
        <w:t xml:space="preserve">3. Medication Error Reporting</w:t>
      </w:r>
    </w:p>
    <w:p>
      <w:r>
        <w:t xml:space="preserve">All medication errors, near-misses, and adverse drug events MUST be reported through RL Solutions (our incident reporting system) within 2 hours of discovery, regardless of whether patient harm occurred.</w:t>
      </w:r>
    </w:p>
    <w:p>
      <w:r>
        <w:t xml:space="preserve"/>
      </w:r>
    </w:p>
    <w:p>
      <w:r>
        <w:t xml:space="preserve">Near-miss reporting is encouraged and non-punitive. Near-miss reports help prevent future errors and improve safety systems.</w:t>
      </w:r>
    </w:p>
    <w:p>
      <w:r>
        <w:t xml:space="preserve"/>
      </w:r>
    </w:p>
    <w:p>
      <w:pPr>
        <w:pStyle w:val="Heading3"/>
      </w:pPr>
      <w:r>
        <w:t xml:space="preserve">3.1 Error Classification</w:t>
      </w:r>
    </w:p>
    <w:p>
      <w:pPr>
        <w:pStyle w:val="ListParagraph"/>
        <w:numPr>
          <w:ilvl w:val="0"/>
          <w:numId w:val="2"/>
        </w:numPr>
      </w:pPr>
      <w:r>
        <w:t xml:space="preserve">Category A: Error did not reach patient (near-miss)</w:t>
      </w:r>
    </w:p>
    <w:p>
      <w:pPr>
        <w:pStyle w:val="ListParagraph"/>
        <w:numPr>
          <w:ilvl w:val="0"/>
          <w:numId w:val="2"/>
        </w:numPr>
      </w:pPr>
      <w:r>
        <w:t xml:space="preserve">Category B-D: Error reached patient but no harm</w:t>
      </w:r>
    </w:p>
    <w:p>
      <w:pPr>
        <w:pStyle w:val="ListParagraph"/>
        <w:numPr>
          <w:ilvl w:val="0"/>
          <w:numId w:val="2"/>
        </w:numPr>
      </w:pPr>
      <w:r>
        <w:t xml:space="preserve">Category E-H: Error reached patient with temporary or permanent harm</w:t>
      </w:r>
    </w:p>
    <w:p>
      <w:pPr>
        <w:pStyle w:val="ListParagraph"/>
        <w:numPr>
          <w:ilvl w:val="0"/>
          <w:numId w:val="2"/>
        </w:numPr>
      </w:pPr>
      <w:r>
        <w:t xml:space="preserve">Category I: Error contributed to or resulted in patient death — immediate escalation to Risk Management</w:t>
      </w:r>
    </w:p>
    <w:p>
      <w:r>
        <w:t xml:space="preserve"/>
      </w:r>
    </w:p>
    <w:p>
      <w:pPr>
        <w:pStyle w:val="Heading2"/>
      </w:pPr>
      <w:r>
        <w:t xml:space="preserve">4. Controlled Substance Handling</w:t>
      </w:r>
    </w:p>
    <w:p>
      <w:pPr>
        <w:pStyle w:val="ListParagraph"/>
        <w:numPr>
          <w:ilvl w:val="0"/>
          <w:numId w:val="2"/>
        </w:numPr>
      </w:pPr>
      <w:r>
        <w:t xml:space="preserve">Access to automated dispensing cabinets (ADC) requires individual fingerprint authentication</w:t>
      </w:r>
    </w:p>
    <w:p>
      <w:pPr>
        <w:pStyle w:val="ListParagraph"/>
        <w:numPr>
          <w:ilvl w:val="0"/>
          <w:numId w:val="2"/>
        </w:numPr>
      </w:pPr>
      <w:r>
        <w:t xml:space="preserve">Controlled substances must be witnessed by two nurses when wasted — document in ADC and EHR</w:t>
      </w:r>
    </w:p>
    <w:p>
      <w:pPr>
        <w:pStyle w:val="ListParagraph"/>
        <w:numPr>
          <w:ilvl w:val="0"/>
          <w:numId w:val="2"/>
        </w:numPr>
      </w:pPr>
      <w:r>
        <w:t xml:space="preserve">Discrepancies in controlled substance counts must be reported to Pharmacy within 30 minutes</w:t>
      </w:r>
    </w:p>
    <w:p>
      <w:pPr>
        <w:pStyle w:val="ListParagraph"/>
        <w:numPr>
          <w:ilvl w:val="0"/>
          <w:numId w:val="2"/>
        </w:numPr>
      </w:pPr>
      <w:r>
        <w:t xml:space="preserve">End-of-shift reconciliation required for all controlled substances dispensed from ADC</w:t>
      </w:r>
    </w:p>
    <w:p>
      <w:pPr>
        <w:pStyle w:val="ListParagraph"/>
        <w:numPr>
          <w:ilvl w:val="0"/>
          <w:numId w:val="2"/>
        </w:numPr>
      </w:pPr>
      <w:r>
        <w:t xml:space="preserve">Diversion suspicion: Report to Charge Nurse and Pharmacy immediately; do not confront the individual</w:t>
      </w:r>
    </w:p>
    <w:p>
      <w:r>
        <w:t xml:space="preserve"/>
      </w:r>
    </w:p>
    <w:p>
      <w:pPr>
        <w:pStyle w:val="Heading2"/>
      </w:pPr>
      <w:r>
        <w:t xml:space="preserve">5. Safe Storage Requirements</w:t>
      </w:r>
    </w:p>
    <w:p>
      <w:pPr>
        <w:pStyle w:val="ListParagraph"/>
        <w:numPr>
          <w:ilvl w:val="0"/>
          <w:numId w:val="2"/>
        </w:numPr>
      </w:pPr>
      <w:r>
        <w:t xml:space="preserve">Medications stored at room temperature unless label specifies refrigeration (2-8 degrees C)</w:t>
      </w:r>
    </w:p>
    <w:p>
      <w:pPr>
        <w:pStyle w:val="ListParagraph"/>
        <w:numPr>
          <w:ilvl w:val="0"/>
          <w:numId w:val="2"/>
        </w:numPr>
      </w:pPr>
      <w:r>
        <w:t xml:space="preserve">Refrigerated medications: Check and document temperature log twice daily</w:t>
      </w:r>
    </w:p>
    <w:p>
      <w:pPr>
        <w:pStyle w:val="ListParagraph"/>
        <w:numPr>
          <w:ilvl w:val="0"/>
          <w:numId w:val="2"/>
        </w:numPr>
      </w:pPr>
      <w:r>
        <w:t xml:space="preserve">Medications must be stored in locked areas — patient rooms are not medication storage areas</w:t>
      </w:r>
    </w:p>
    <w:p>
      <w:pPr>
        <w:pStyle w:val="ListParagraph"/>
        <w:numPr>
          <w:ilvl w:val="0"/>
          <w:numId w:val="2"/>
        </w:numPr>
      </w:pPr>
      <w:r>
        <w:t xml:space="preserve">Look-alike/sound-alike medications stored in separate bins with TALL MAN lettering labels</w:t>
      </w:r>
    </w:p>
    <w:p>
      <w:r>
        <w:t xml:space="preserve"/>
      </w:r>
    </w:p>
    <w:p>
      <w:pPr>
        <w:pStyle w:val="Heading2"/>
      </w:pPr>
      <w:r>
        <w:t xml:space="preserve">6. Contacts</w:t>
      </w:r>
    </w:p>
    <w:p>
      <w:pPr>
        <w:pStyle w:val="ListParagraph"/>
        <w:numPr>
          <w:ilvl w:val="0"/>
          <w:numId w:val="2"/>
        </w:numPr>
      </w:pPr>
      <w:r>
        <w:t xml:space="preserve">Pharmacy (24/7): ext. 3100 | On-call Pharmacist: 3101</w:t>
      </w:r>
    </w:p>
    <w:p>
      <w:pPr>
        <w:pStyle w:val="ListParagraph"/>
        <w:numPr>
          <w:ilvl w:val="0"/>
          <w:numId w:val="2"/>
        </w:numPr>
      </w:pPr>
      <w:r>
        <w:t xml:space="preserve">Medication Error Reporting: RL Solutions https://rls.riversidemedical.internal</w:t>
      </w:r>
    </w:p>
    <w:p>
      <w:pPr>
        <w:pStyle w:val="ListParagraph"/>
        <w:numPr>
          <w:ilvl w:val="0"/>
          <w:numId w:val="2"/>
        </w:numPr>
      </w:pPr>
      <w:r>
        <w:t xml:space="preserve">Drug Information Hotline: ext. 3120</w:t>
      </w:r>
    </w:p>
    <w:p>
      <w:pPr>
        <w:pStyle w:val="ListParagraph"/>
        <w:numPr>
          <w:ilvl w:val="0"/>
          <w:numId w:val="2"/>
        </w:numPr>
      </w:pPr>
      <w:r>
        <w:t xml:space="preserve">Poison Control: 1-800-222-1222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A5276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1618C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2874A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2026-05-18T16:16:33.919Z</dcterms:created>
  <dcterms:modified xsi:type="dcterms:W3CDTF">2026-05-18T16:16:33.919Z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