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HIPAA Privacy Policy &amp; Protected Health Information Handling</w:t>
      </w:r>
    </w:p>
    <w:p>
      <w:r>
        <w:rPr>
          <w:i/>
          <w:iCs/>
          <w:color w:val="666666"/>
        </w:rPr>
        <w:t xml:space="preserve">Riverside Medical Center | Compliance Department | Policy No: HIPAA-001 | Effective: January 1, 2025</w:t>
      </w:r>
    </w:p>
    <w:p>
      <w:r>
        <w:t xml:space="preserve"/>
      </w:r>
    </w:p>
    <w:p>
      <w:pPr>
        <w:pStyle w:val="Heading2"/>
      </w:pPr>
      <w:r>
        <w:t xml:space="preserve">1. Purpose</w:t>
      </w:r>
    </w:p>
    <w:p>
      <w:r>
        <w:t xml:space="preserve">This policy establishes Riverside Medical Center's procedures for protecting the privacy of patient health information in compliance with the Health Insurance Portability and Accountability Act (HIPAA) Privacy Rule (45 CFR Parts 160 and 164) and applicable state privacy laws.</w:t>
      </w:r>
    </w:p>
    <w:p>
      <w:r>
        <w:t xml:space="preserve"/>
      </w:r>
    </w:p>
    <w:p>
      <w:pPr>
        <w:pStyle w:val="Heading2"/>
      </w:pPr>
      <w:r>
        <w:t xml:space="preserve">2. Definitions</w:t>
      </w:r>
    </w:p>
    <w:p>
      <w:r>
        <w:rPr>
          <w:b/>
          <w:bCs/>
        </w:rPr>
        <w:t xml:space="preserve">Protected Health Information (PHI):</w:t>
      </w:r>
    </w:p>
    <w:p>
      <w:r>
        <w:t xml:space="preserve">Individually identifiable health information in any format (paper, electronic, verbal) relating to past, present, or future physical or mental health condition, treatment, or payment for healthcare.</w:t>
      </w:r>
    </w:p>
    <w:p>
      <w:r>
        <w:t xml:space="preserve"/>
      </w:r>
    </w:p>
    <w:p>
      <w:r>
        <w:rPr>
          <w:b/>
          <w:bCs/>
        </w:rPr>
        <w:t xml:space="preserve">Electronic PHI (ePHI):</w:t>
      </w:r>
    </w:p>
    <w:p>
      <w:r>
        <w:t xml:space="preserve">PHI that is created, stored, transmitted, or received in electronic form. Subject to additional safeguards under the HIPAA Security Rule.</w:t>
      </w:r>
    </w:p>
    <w:p>
      <w:r>
        <w:t xml:space="preserve"/>
      </w:r>
    </w:p>
    <w:p>
      <w:pPr>
        <w:pStyle w:val="Heading2"/>
      </w:pPr>
      <w:r>
        <w:t xml:space="preserve">3. Permitted Uses and Disclosures of PHI</w:t>
      </w:r>
    </w:p>
    <w:p>
      <w:r>
        <w:t xml:space="preserve">PHI may be used or disclosed without patient authorization for the following purposes:</w:t>
      </w:r>
    </w:p>
    <w:p>
      <w:pPr>
        <w:pStyle w:val="ListParagraph"/>
        <w:numPr>
          <w:ilvl w:val="0"/>
          <w:numId w:val="2"/>
        </w:numPr>
      </w:pPr>
      <w:r>
        <w:t xml:space="preserve">Treatment: Sharing with other treating providers for continuity of care</w:t>
      </w:r>
    </w:p>
    <w:p>
      <w:pPr>
        <w:pStyle w:val="ListParagraph"/>
        <w:numPr>
          <w:ilvl w:val="0"/>
          <w:numId w:val="2"/>
        </w:numPr>
      </w:pPr>
      <w:r>
        <w:t xml:space="preserve">Payment: Billing and collections for healthcare services rendered</w:t>
      </w:r>
    </w:p>
    <w:p>
      <w:pPr>
        <w:pStyle w:val="ListParagraph"/>
        <w:numPr>
          <w:ilvl w:val="0"/>
          <w:numId w:val="2"/>
        </w:numPr>
      </w:pPr>
      <w:r>
        <w:t xml:space="preserve">Healthcare Operations: Quality assurance, staff training, compliance activities</w:t>
      </w:r>
    </w:p>
    <w:p>
      <w:pPr>
        <w:pStyle w:val="ListParagraph"/>
        <w:numPr>
          <w:ilvl w:val="0"/>
          <w:numId w:val="2"/>
        </w:numPr>
      </w:pPr>
      <w:r>
        <w:t xml:space="preserve">Public Health Activities: Disease reporting to state and federal authorities</w:t>
      </w:r>
    </w:p>
    <w:p>
      <w:pPr>
        <w:pStyle w:val="ListParagraph"/>
        <w:numPr>
          <w:ilvl w:val="0"/>
          <w:numId w:val="2"/>
        </w:numPr>
      </w:pPr>
      <w:r>
        <w:t xml:space="preserve">Law Enforcement: In response to court orders, warrants, or specific legal processes</w:t>
      </w:r>
    </w:p>
    <w:p>
      <w:pPr>
        <w:pStyle w:val="ListParagraph"/>
        <w:numPr>
          <w:ilvl w:val="0"/>
          <w:numId w:val="2"/>
        </w:numPr>
      </w:pPr>
      <w:r>
        <w:t xml:space="preserve">Facility Directories: Limited information (name, location, condition in general terms) unless patient opts out</w:t>
      </w:r>
    </w:p>
    <w:p>
      <w:r>
        <w:t xml:space="preserve"/>
      </w:r>
    </w:p>
    <w:p>
      <w:pPr>
        <w:pStyle w:val="Heading2"/>
      </w:pPr>
      <w:r>
        <w:t xml:space="preserve">4. Minimum Necessary Standard</w:t>
      </w:r>
    </w:p>
    <w:p>
      <w:r>
        <w:t xml:space="preserve">All staff must apply the minimum necessary standard when accessing, using, or disclosing PHI. Access PHI only to the extent necessary to perform your job function. This means:</w:t>
      </w:r>
    </w:p>
    <w:p>
      <w:pPr>
        <w:pStyle w:val="ListParagraph"/>
        <w:numPr>
          <w:ilvl w:val="0"/>
          <w:numId w:val="2"/>
        </w:numPr>
      </w:pPr>
      <w:r>
        <w:t xml:space="preserve">Clinical staff: Access PHI for patients under your care only</w:t>
      </w:r>
    </w:p>
    <w:p>
      <w:pPr>
        <w:pStyle w:val="ListParagraph"/>
        <w:numPr>
          <w:ilvl w:val="0"/>
          <w:numId w:val="2"/>
        </w:numPr>
      </w:pPr>
      <w:r>
        <w:t xml:space="preserve">Administrative staff: Access the minimum information needed for scheduling, billing, or operations</w:t>
      </w:r>
    </w:p>
    <w:p>
      <w:pPr>
        <w:pStyle w:val="ListParagraph"/>
        <w:numPr>
          <w:ilvl w:val="0"/>
          <w:numId w:val="2"/>
        </w:numPr>
      </w:pPr>
      <w:r>
        <w:t xml:space="preserve">Do not access your own records, records of family members, or records of colleagues</w:t>
      </w:r>
    </w:p>
    <w:p>
      <w:pPr>
        <w:pStyle w:val="ListParagraph"/>
        <w:numPr>
          <w:ilvl w:val="0"/>
          <w:numId w:val="2"/>
        </w:numPr>
      </w:pPr>
      <w:r>
        <w:t xml:space="preserve">Curiosity is NOT a permissible reason to access patient records</w:t>
      </w:r>
    </w:p>
    <w:p>
      <w:r>
        <w:t xml:space="preserve"/>
      </w:r>
    </w:p>
    <w:p>
      <w:pPr>
        <w:pStyle w:val="Heading2"/>
      </w:pPr>
      <w:r>
        <w:t xml:space="preserve">5. Patient Rights Under HIPAA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4680"/>
        <w:gridCol w:w="2340"/>
      </w:tblGrid>
      <w:tr>
        <w:tc>
          <w:tcPr>
            <w:tcW w:type="dxa" w:w="2340"/>
            <w:tcBorders>
              <w:top w:val="single" w:color="CCCCCC" w:sz="1"/>
              <w:left w:val="single" w:color="CCCCCC" w:sz="1"/>
              <w:bottom w:val="single" w:color="CCCCCC" w:sz="1"/>
              <w:right w:val="single" w:color="CCCCCC" w:sz="1"/>
            </w:tcBorders>
            <w:shd w:fill="1A5276" w:val="clear"/>
            <w:tcMar>
              <w:top w:type="dxa" w:w="80"/>
              <w:left w:type="dxa" w:w="120"/>
              <w:bottom w:type="dxa" w:w="80"/>
              <w:right w:type="dxa" w:w="120"/>
            </w:tcMar>
          </w:tcPr>
          <w:p>
            <w:r>
              <w:rPr>
                <w:rFonts w:ascii="Arial" w:cs="Arial" w:eastAsia="Arial" w:hAnsi="Arial"/>
                <w:b/>
                <w:bCs/>
                <w:color w:val="FFFFFF"/>
                <w:sz w:val="22"/>
                <w:szCs w:val="22"/>
              </w:rPr>
              <w:t xml:space="preserve">Patient Right</w:t>
            </w:r>
          </w:p>
        </w:tc>
        <w:tc>
          <w:tcPr>
            <w:tcW w:type="dxa" w:w="4680"/>
            <w:tcBorders>
              <w:top w:val="single" w:color="CCCCCC" w:sz="1"/>
              <w:left w:val="single" w:color="CCCCCC" w:sz="1"/>
              <w:bottom w:val="single" w:color="CCCCCC" w:sz="1"/>
              <w:right w:val="single" w:color="CCCCCC" w:sz="1"/>
            </w:tcBorders>
            <w:shd w:fill="1A5276" w:val="clear"/>
            <w:tcMar>
              <w:top w:type="dxa" w:w="80"/>
              <w:left w:type="dxa" w:w="120"/>
              <w:bottom w:type="dxa" w:w="80"/>
              <w:right w:type="dxa" w:w="120"/>
            </w:tcMar>
          </w:tcPr>
          <w:p>
            <w:r>
              <w:rPr>
                <w:rFonts w:ascii="Arial" w:cs="Arial" w:eastAsia="Arial" w:hAnsi="Arial"/>
                <w:b/>
                <w:bCs/>
                <w:color w:val="FFFFFF"/>
                <w:sz w:val="22"/>
                <w:szCs w:val="22"/>
              </w:rPr>
              <w:t xml:space="preserve">Description</w:t>
            </w:r>
          </w:p>
        </w:tc>
        <w:tc>
          <w:tcPr>
            <w:tcW w:type="dxa" w:w="2340"/>
            <w:tcBorders>
              <w:top w:val="single" w:color="CCCCCC" w:sz="1"/>
              <w:left w:val="single" w:color="CCCCCC" w:sz="1"/>
              <w:bottom w:val="single" w:color="CCCCCC" w:sz="1"/>
              <w:right w:val="single" w:color="CCCCCC" w:sz="1"/>
            </w:tcBorders>
            <w:shd w:fill="1A5276" w:val="clear"/>
            <w:tcMar>
              <w:top w:type="dxa" w:w="80"/>
              <w:left w:type="dxa" w:w="120"/>
              <w:bottom w:type="dxa" w:w="80"/>
              <w:right w:type="dxa" w:w="120"/>
            </w:tcMar>
          </w:tcPr>
          <w:p>
            <w:r>
              <w:rPr>
                <w:rFonts w:ascii="Arial" w:cs="Arial" w:eastAsia="Arial" w:hAnsi="Arial"/>
                <w:b/>
                <w:bCs/>
                <w:color w:val="FFFFFF"/>
                <w:sz w:val="22"/>
                <w:szCs w:val="22"/>
              </w:rPr>
              <w:t xml:space="preserve">Response Deadline</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Right of Access</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Request copy of their medical records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30 days (30-day extension with notice)</w:t>
            </w:r>
          </w:p>
        </w:tc>
      </w:tr>
      <w:tr>
        <w:tc>
          <w:tcPr>
            <w:tcW w:type="dxa" w:w="234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tcPr>
          <w:p>
            <w:r>
              <w:rPr>
                <w:rFonts w:ascii="Arial" w:cs="Arial" w:eastAsia="Arial" w:hAnsi="Arial"/>
                <w:sz w:val="22"/>
                <w:szCs w:val="22"/>
              </w:rPr>
              <w:t xml:space="preserve">Right to Amend</w:t>
            </w:r>
          </w:p>
        </w:tc>
        <w:tc>
          <w:tcPr>
            <w:tcW w:type="dxa" w:w="468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tcPr>
          <w:p>
            <w:r>
              <w:rPr>
                <w:rFonts w:ascii="Arial" w:cs="Arial" w:eastAsia="Arial" w:hAnsi="Arial"/>
                <w:sz w:val="22"/>
                <w:szCs w:val="22"/>
              </w:rPr>
              <w:t xml:space="preserve">Request correction of inaccurate records</w:t>
            </w:r>
          </w:p>
        </w:tc>
        <w:tc>
          <w:tcPr>
            <w:tcW w:type="dxa" w:w="234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tcPr>
          <w:p>
            <w:r>
              <w:rPr>
                <w:rFonts w:ascii="Arial" w:cs="Arial" w:eastAsia="Arial" w:hAnsi="Arial"/>
                <w:sz w:val="22"/>
                <w:szCs w:val="22"/>
              </w:rPr>
              <w:t xml:space="preserve">60 days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Accounting of Disclosures</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List of who received their PHI (non-TPO)</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60 days, 6-year lookback</w:t>
            </w:r>
          </w:p>
        </w:tc>
      </w:tr>
      <w:tr>
        <w:tc>
          <w:tcPr>
            <w:tcW w:type="dxa" w:w="234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tcPr>
          <w:p>
            <w:r>
              <w:rPr>
                <w:rFonts w:ascii="Arial" w:cs="Arial" w:eastAsia="Arial" w:hAnsi="Arial"/>
                <w:sz w:val="22"/>
                <w:szCs w:val="22"/>
              </w:rPr>
              <w:t xml:space="preserve">Restriction Request</w:t>
            </w:r>
          </w:p>
        </w:tc>
        <w:tc>
          <w:tcPr>
            <w:tcW w:type="dxa" w:w="468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tcPr>
          <w:p>
            <w:r>
              <w:rPr>
                <w:rFonts w:ascii="Arial" w:cs="Arial" w:eastAsia="Arial" w:hAnsi="Arial"/>
                <w:sz w:val="22"/>
                <w:szCs w:val="22"/>
              </w:rPr>
              <w:t xml:space="preserve">Request limits on certain uses/disclosures</w:t>
            </w:r>
          </w:p>
        </w:tc>
        <w:tc>
          <w:tcPr>
            <w:tcW w:type="dxa" w:w="234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tcPr>
          <w:p>
            <w:r>
              <w:rPr>
                <w:rFonts w:ascii="Arial" w:cs="Arial" w:eastAsia="Arial" w:hAnsi="Arial"/>
                <w:sz w:val="22"/>
                <w:szCs w:val="22"/>
              </w:rPr>
              <w:t xml:space="preserve">Response required; restrictions may be denied</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Confidential Communications</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Request alternative contact methods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Must accommodate reasonable requests</w:t>
            </w:r>
          </w:p>
        </w:tc>
      </w:tr>
    </w:tbl>
    <w:p>
      <w:r>
        <w:t xml:space="preserve"/>
      </w:r>
    </w:p>
    <w:p>
      <w:pPr>
        <w:pStyle w:val="Heading2"/>
      </w:pPr>
      <w:r>
        <w:t xml:space="preserve">6. PHI Breach Reporting</w:t>
      </w:r>
    </w:p>
    <w:p>
      <w:r>
        <w:t xml:space="preserve">All suspected PHI breaches must be reported immediately. A breach is defined as the acquisition, access, use, or disclosure of PHI in a manner not permitted under HIPAA.</w:t>
      </w:r>
    </w:p>
    <w:p>
      <w:pPr>
        <w:pStyle w:val="ListParagraph"/>
        <w:numPr>
          <w:ilvl w:val="0"/>
          <w:numId w:val="3"/>
        </w:numPr>
      </w:pPr>
      <w:r>
        <w:t xml:space="preserve">Report immediately to your supervisor and the Privacy Officer: privacy@riversidemedical.org</w:t>
      </w:r>
    </w:p>
    <w:p>
      <w:pPr>
        <w:pStyle w:val="ListParagraph"/>
        <w:numPr>
          <w:ilvl w:val="0"/>
          <w:numId w:val="3"/>
        </w:numPr>
      </w:pPr>
      <w:r>
        <w:t xml:space="preserve">Do not attempt to investigate or remediate on your own</w:t>
      </w:r>
    </w:p>
    <w:p>
      <w:pPr>
        <w:pStyle w:val="ListParagraph"/>
        <w:numPr>
          <w:ilvl w:val="0"/>
          <w:numId w:val="3"/>
        </w:numPr>
      </w:pPr>
      <w:r>
        <w:t xml:space="preserve">Document what happened, what PHI was involved, and how the breach occurred</w:t>
      </w:r>
    </w:p>
    <w:p>
      <w:pPr>
        <w:pStyle w:val="ListParagraph"/>
        <w:numPr>
          <w:ilvl w:val="0"/>
          <w:numId w:val="3"/>
        </w:numPr>
      </w:pPr>
      <w:r>
        <w:t xml:space="preserve">Notification timeline: Affected individuals within 60 days; HHS within 60 days; Media (if 500+ residents affected) within 60 days</w:t>
      </w:r>
    </w:p>
    <w:p>
      <w:r>
        <w:t xml:space="preserve"/>
      </w:r>
    </w:p>
    <w:p>
      <w:pPr>
        <w:pStyle w:val="Heading2"/>
      </w:pPr>
      <w:r>
        <w:t xml:space="preserve">7. Penalties</w:t>
      </w:r>
    </w:p>
    <w:p>
      <w:r>
        <w:t xml:space="preserve">HIPAA violations carry civil and criminal penalties:</w:t>
      </w:r>
    </w:p>
    <w:p>
      <w:pPr>
        <w:pStyle w:val="ListParagraph"/>
        <w:numPr>
          <w:ilvl w:val="0"/>
          <w:numId w:val="2"/>
        </w:numPr>
      </w:pPr>
      <w:r>
        <w:t xml:space="preserve">Tier 1 (unknowing): $100-$50,000 per violation, max $1.5M annually</w:t>
      </w:r>
    </w:p>
    <w:p>
      <w:pPr>
        <w:pStyle w:val="ListParagraph"/>
        <w:numPr>
          <w:ilvl w:val="0"/>
          <w:numId w:val="2"/>
        </w:numPr>
      </w:pPr>
      <w:r>
        <w:t xml:space="preserve">Tier 4 (willful neglect, uncorrected): $50,000 per violation, max $1.5M annually</w:t>
      </w:r>
    </w:p>
    <w:p>
      <w:pPr>
        <w:pStyle w:val="ListParagraph"/>
        <w:numPr>
          <w:ilvl w:val="0"/>
          <w:numId w:val="2"/>
        </w:numPr>
      </w:pPr>
      <w:r>
        <w:t xml:space="preserve">Criminal: Up to 10 years imprisonment for obtaining PHI under false pretenses for personal gain</w:t>
      </w:r>
    </w:p>
    <w:p>
      <w:pPr>
        <w:pStyle w:val="ListParagraph"/>
        <w:numPr>
          <w:ilvl w:val="0"/>
          <w:numId w:val="2"/>
        </w:numPr>
      </w:pPr>
      <w:r>
        <w:t xml:space="preserve">Employment: Termination for unauthorized access to patient records</w:t>
      </w:r>
    </w:p>
    <w:p>
      <w:r>
        <w:t xml:space="preserve"/>
      </w:r>
    </w:p>
    <w:p>
      <w:pPr>
        <w:pStyle w:val="Heading2"/>
      </w:pPr>
      <w:r>
        <w:t xml:space="preserve">8. Privacy Officer Contact</w:t>
      </w:r>
    </w:p>
    <w:p>
      <w:pPr>
        <w:pStyle w:val="ListParagraph"/>
        <w:numPr>
          <w:ilvl w:val="0"/>
          <w:numId w:val="2"/>
        </w:numPr>
      </w:pPr>
      <w:r>
        <w:t xml:space="preserve">Privacy Officer: Dr. Angela Torres | privacy@riversidemedical.org | ext. 2400</w:t>
      </w:r>
    </w:p>
    <w:p>
      <w:pPr>
        <w:pStyle w:val="ListParagraph"/>
        <w:numPr>
          <w:ilvl w:val="0"/>
          <w:numId w:val="2"/>
        </w:numPr>
      </w:pPr>
      <w:r>
        <w:t xml:space="preserve">Anonymous Reporting Hotline: 1-800-RMC-PRIV</w:t>
      </w:r>
    </w:p>
    <w:p>
      <w:pPr>
        <w:pStyle w:val="ListParagraph"/>
        <w:numPr>
          <w:ilvl w:val="0"/>
          <w:numId w:val="2"/>
        </w:numPr>
      </w:pPr>
      <w:r>
        <w:t xml:space="preserve">HHS Office for Civil Rights: www.hhs.gov/hipaa/filing-a-complaint</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60"/>
      <w:outlineLvl w:val="0"/>
    </w:pPr>
    <w:rPr>
      <w:rFonts w:ascii="Arial" w:cs="Arial" w:eastAsia="Arial" w:hAnsi="Arial"/>
      <w:b/>
      <w:bCs/>
      <w:color w:val="1A5276"/>
      <w:sz w:val="36"/>
      <w:szCs w:val="36"/>
    </w:rPr>
  </w:style>
  <w:style w:type="paragraph" w:styleId="Heading2">
    <w:name w:val="Heading 2"/>
    <w:basedOn w:val="Normal"/>
    <w:next w:val="Normal"/>
    <w:qFormat/>
    <w:pPr>
      <w:spacing w:after="120" w:before="240"/>
      <w:outlineLvl w:val="1"/>
    </w:pPr>
    <w:rPr>
      <w:rFonts w:ascii="Arial" w:cs="Arial" w:eastAsia="Arial" w:hAnsi="Arial"/>
      <w:b/>
      <w:bCs/>
      <w:color w:val="21618C"/>
      <w:sz w:val="28"/>
      <w:szCs w:val="28"/>
    </w:rPr>
  </w:style>
  <w:style w:type="paragraph" w:styleId="Heading3">
    <w:name w:val="Heading 3"/>
    <w:basedOn w:val="Normal"/>
    <w:next w:val="Normal"/>
    <w:qFormat/>
    <w:pPr>
      <w:spacing w:after="80" w:before="180"/>
      <w:outlineLvl w:val="2"/>
    </w:pPr>
    <w:rPr>
      <w:rFonts w:ascii="Arial" w:cs="Arial" w:eastAsia="Arial" w:hAnsi="Arial"/>
      <w:b/>
      <w:bCs/>
      <w:color w:val="2874A6"/>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2026-05-18T16:16:33.895Z</dcterms:created>
  <dcterms:modified xsi:type="dcterms:W3CDTF">2026-05-18T16:16:33.895Z</dcterms:modified>
</cp:coreProperties>
</file>

<file path=docProps/custom.xml><?xml version="1.0" encoding="utf-8"?>
<Properties xmlns="http://schemas.openxmlformats.org/officeDocument/2006/custom-properties" xmlns:vt="http://schemas.openxmlformats.org/officeDocument/2006/docPropsVTypes"/>
</file>