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Insider Trading &amp; Material Non-Public Information Policy</w:t>
      </w:r>
    </w:p>
    <w:p>
      <w:r>
        <w:rPr>
          <w:i/>
          <w:iCs/>
          <w:color w:val="666666"/>
        </w:rPr>
        <w:t xml:space="preserve">Apex Financial Group | Compliance | COMP-008 | Version 3.1 | Mandatory Annual Certification Required</w:t>
      </w:r>
    </w:p>
    <w:p>
      <w:r>
        <w:t xml:space="preserve"/>
      </w:r>
    </w:p>
    <w:p>
      <w:pPr>
        <w:pStyle w:val="Heading2"/>
      </w:pPr>
      <w:r>
        <w:t xml:space="preserve">1. Definition of Material Non-Public Information (MNPI)</w:t>
      </w:r>
    </w:p>
    <w:p>
      <w:r>
        <w:t xml:space="preserve">Information is MATERIAL if a reasonable investor would consider it important in making an investment decision. Information is NON-PUBLIC if it has not been broadly disseminated to the investing public through press releases, SEC filings, or major news services.</w:t>
      </w:r>
    </w:p>
    <w:p>
      <w:r>
        <w:t xml:space="preserve"/>
      </w:r>
    </w:p>
    <w:p>
      <w:r>
        <w:t xml:space="preserve">Examples of material information include:</w:t>
      </w:r>
    </w:p>
    <w:p>
      <w:pPr>
        <w:pStyle w:val="ListParagraph"/>
        <w:numPr>
          <w:ilvl w:val="0"/>
          <w:numId w:val="2"/>
        </w:numPr>
      </w:pPr>
      <w:r>
        <w:t xml:space="preserve">Upcoming earnings announcements that differ significantly from analyst consensus</w:t>
      </w:r>
    </w:p>
    <w:p>
      <w:pPr>
        <w:pStyle w:val="ListParagraph"/>
        <w:numPr>
          <w:ilvl w:val="0"/>
          <w:numId w:val="2"/>
        </w:numPr>
      </w:pPr>
      <w:r>
        <w:t xml:space="preserve">Pending mergers, acquisitions, or significant business combinations</w:t>
      </w:r>
    </w:p>
    <w:p>
      <w:pPr>
        <w:pStyle w:val="ListParagraph"/>
        <w:numPr>
          <w:ilvl w:val="0"/>
          <w:numId w:val="2"/>
        </w:numPr>
      </w:pPr>
      <w:r>
        <w:t xml:space="preserve">Major contract wins or losses</w:t>
      </w:r>
    </w:p>
    <w:p>
      <w:pPr>
        <w:pStyle w:val="ListParagraph"/>
        <w:numPr>
          <w:ilvl w:val="0"/>
          <w:numId w:val="2"/>
        </w:numPr>
      </w:pPr>
      <w:r>
        <w:t xml:space="preserve">Executive leadership changes (CEO, CFO, or Board of Directors)</w:t>
      </w:r>
    </w:p>
    <w:p>
      <w:pPr>
        <w:pStyle w:val="ListParagraph"/>
        <w:numPr>
          <w:ilvl w:val="0"/>
          <w:numId w:val="2"/>
        </w:numPr>
      </w:pPr>
      <w:r>
        <w:t xml:space="preserve">Regulatory investigations, SEC inquiries, or significant litigation</w:t>
      </w:r>
    </w:p>
    <w:p>
      <w:pPr>
        <w:pStyle w:val="ListParagraph"/>
        <w:numPr>
          <w:ilvl w:val="0"/>
          <w:numId w:val="2"/>
        </w:numPr>
      </w:pPr>
      <w:r>
        <w:t xml:space="preserve">Upcoming dividend changes, stock buybacks, or capital raises</w:t>
      </w:r>
    </w:p>
    <w:p>
      <w:pPr>
        <w:pStyle w:val="ListParagraph"/>
        <w:numPr>
          <w:ilvl w:val="0"/>
          <w:numId w:val="2"/>
        </w:numPr>
      </w:pPr>
      <w:r>
        <w:t xml:space="preserve">Cybersecurity breaches involving material data loss</w:t>
      </w:r>
    </w:p>
    <w:p>
      <w:r>
        <w:t xml:space="preserve"/>
      </w:r>
    </w:p>
    <w:p>
      <w:pPr>
        <w:pStyle w:val="Heading2"/>
      </w:pPr>
      <w:r>
        <w:t xml:space="preserve">2. Prohibited Activities When in Possession of MNPI</w:t>
      </w:r>
    </w:p>
    <w:p>
      <w:r>
        <w:t xml:space="preserve">Employees who possess MNPI about any company MUST NOT:</w:t>
      </w:r>
    </w:p>
    <w:p>
      <w:pPr>
        <w:pStyle w:val="ListParagraph"/>
        <w:numPr>
          <w:ilvl w:val="0"/>
          <w:numId w:val="2"/>
        </w:numPr>
      </w:pPr>
      <w:r>
        <w:t xml:space="preserve">Purchase or sell any securities of that company</w:t>
      </w:r>
    </w:p>
    <w:p>
      <w:pPr>
        <w:pStyle w:val="ListParagraph"/>
        <w:numPr>
          <w:ilvl w:val="0"/>
          <w:numId w:val="2"/>
        </w:numPr>
      </w:pPr>
      <w:r>
        <w:t xml:space="preserve">Recommend that others purchase or sell those securities</w:t>
      </w:r>
    </w:p>
    <w:p>
      <w:pPr>
        <w:pStyle w:val="ListParagraph"/>
        <w:numPr>
          <w:ilvl w:val="0"/>
          <w:numId w:val="2"/>
        </w:numPr>
      </w:pPr>
      <w:r>
        <w:t xml:space="preserve">Disclose the MNPI to anyone inside or outside the firm (tipping)</w:t>
      </w:r>
    </w:p>
    <w:p>
      <w:pPr>
        <w:pStyle w:val="ListParagraph"/>
        <w:numPr>
          <w:ilvl w:val="0"/>
          <w:numId w:val="2"/>
        </w:numPr>
      </w:pPr>
      <w:r>
        <w:t xml:space="preserve">Use the information to benefit any third party</w:t>
      </w:r>
    </w:p>
    <w:p>
      <w:r>
        <w:t xml:space="preserve"/>
      </w:r>
    </w:p>
    <w:p>
      <w:pPr>
        <w:pStyle w:val="Heading2"/>
      </w:pPr>
      <w:r>
        <w:t xml:space="preserve">3. Information Barriers (Chinese Walls)</w:t>
      </w:r>
    </w:p>
    <w:p>
      <w:r>
        <w:t xml:space="preserve">Apex Financial Group maintains information barriers between business units that may come into possession of MNPI and those that engage in market-facing activities:</w:t>
      </w:r>
    </w:p>
    <w:p>
      <w:pPr>
        <w:pStyle w:val="ListParagraph"/>
        <w:numPr>
          <w:ilvl w:val="0"/>
          <w:numId w:val="2"/>
        </w:numPr>
      </w:pPr>
      <w:r>
        <w:t xml:space="preserve">Investment Banking is separated from Sales &amp; Trading by a formal information barrier</w:t>
      </w:r>
    </w:p>
    <w:p>
      <w:pPr>
        <w:pStyle w:val="ListParagraph"/>
        <w:numPr>
          <w:ilvl w:val="0"/>
          <w:numId w:val="2"/>
        </w:numPr>
      </w:pPr>
      <w:r>
        <w:t xml:space="preserve">Crossing the wall requires CCO approval and is logged in ComplianceTrack</w:t>
      </w:r>
    </w:p>
    <w:p>
      <w:pPr>
        <w:pStyle w:val="ListParagraph"/>
        <w:numPr>
          <w:ilvl w:val="0"/>
          <w:numId w:val="2"/>
        </w:numPr>
      </w:pPr>
      <w:r>
        <w:t xml:space="preserve">Wall-crossing employees receive restricted list updates and trading pre-clearance requirements</w:t>
      </w:r>
    </w:p>
    <w:p>
      <w:pPr>
        <w:pStyle w:val="ListParagraph"/>
        <w:numPr>
          <w:ilvl w:val="0"/>
          <w:numId w:val="2"/>
        </w:numPr>
      </w:pPr>
      <w:r>
        <w:t xml:space="preserve">Physical access controls and separate email domains enforce the barrier</w:t>
      </w:r>
    </w:p>
    <w:p>
      <w:r>
        <w:t xml:space="preserve"/>
      </w:r>
    </w:p>
    <w:p>
      <w:pPr>
        <w:pStyle w:val="Heading2"/>
      </w:pPr>
      <w:r>
        <w:t xml:space="preserve">4. Restricted and Watch Lists</w:t>
      </w:r>
    </w:p>
    <w:p>
      <w:r>
        <w:t xml:space="preserve">The Compliance department maintains two lists, updated in real-time:</w:t>
      </w:r>
    </w:p>
    <w:p>
      <w:r>
        <w:rPr>
          <w:b/>
          <w:bCs/>
        </w:rPr>
        <w:t xml:space="preserve">Restricted List: Trading in listed securities is PROHIBITED for all covered persons.</w:t>
      </w:r>
    </w:p>
    <w:p>
      <w:r>
        <w:t xml:space="preserve">Securities are added when the firm has MNPI (typically during deal activity). Covered persons receive automatic notification when a security is added or removed.</w:t>
      </w:r>
    </w:p>
    <w:p>
      <w:r>
        <w:t xml:space="preserve"/>
      </w:r>
    </w:p>
    <w:p>
      <w:r>
        <w:rPr>
          <w:b/>
          <w:bCs/>
        </w:rPr>
        <w:t xml:space="preserve">Watch List: Securities under heightened monitoring due to potential MNPI exposure.</w:t>
      </w:r>
    </w:p>
    <w:p>
      <w:r>
        <w:t xml:space="preserve">Trading is not prohibited but is subject to enhanced scrutiny and post-trade review.</w:t>
      </w:r>
    </w:p>
    <w:p>
      <w:r>
        <w:t xml:space="preserve"/>
      </w:r>
    </w:p>
    <w:p>
      <w:pPr>
        <w:pStyle w:val="Heading2"/>
      </w:pPr>
      <w:r>
        <w:t xml:space="preserve">5. Consequences of Insider Trading Violations</w:t>
      </w:r>
    </w:p>
    <w:p>
      <w:r>
        <w:t xml:space="preserve">Insider trading is a serious federal crime with severe consequences:</w:t>
      </w:r>
    </w:p>
    <w:p>
      <w:pPr>
        <w:pStyle w:val="ListParagraph"/>
        <w:numPr>
          <w:ilvl w:val="0"/>
          <w:numId w:val="2"/>
        </w:numPr>
      </w:pPr>
      <w:r>
        <w:t xml:space="preserve">Civil penalties: Up to 3 times the profit gained or loss avoided (Section 20A of the Exchange Act)</w:t>
      </w:r>
    </w:p>
    <w:p>
      <w:pPr>
        <w:pStyle w:val="ListParagraph"/>
        <w:numPr>
          <w:ilvl w:val="0"/>
          <w:numId w:val="2"/>
        </w:numPr>
      </w:pPr>
      <w:r>
        <w:t xml:space="preserve">Criminal penalties: Fines up to $5 million and up to 20 years imprisonment</w:t>
      </w:r>
    </w:p>
    <w:p>
      <w:pPr>
        <w:pStyle w:val="ListParagraph"/>
        <w:numPr>
          <w:ilvl w:val="0"/>
          <w:numId w:val="2"/>
        </w:numPr>
      </w:pPr>
      <w:r>
        <w:t xml:space="preserve">Controlling person liability: Apex and supervisors may be liable for employee violations</w:t>
      </w:r>
    </w:p>
    <w:p>
      <w:pPr>
        <w:pStyle w:val="ListParagraph"/>
        <w:numPr>
          <w:ilvl w:val="0"/>
          <w:numId w:val="2"/>
        </w:numPr>
      </w:pPr>
      <w:r>
        <w:t xml:space="preserve">Employment: Immediate termination and cooperation with regulatory investigations</w:t>
      </w:r>
    </w:p>
    <w:p>
      <w:r>
        <w:t xml:space="preserve"/>
      </w:r>
    </w:p>
    <w:p>
      <w:pPr>
        <w:pStyle w:val="Heading2"/>
      </w:pPr>
      <w:r>
        <w:t xml:space="preserve">6. Reporting MNPI Concerns</w:t>
      </w:r>
    </w:p>
    <w:p>
      <w:r>
        <w:t xml:space="preserve">If you receive or become aware of potential MNPI, you MUST:</w:t>
      </w:r>
    </w:p>
    <w:p>
      <w:pPr>
        <w:pStyle w:val="ListParagraph"/>
        <w:numPr>
          <w:ilvl w:val="0"/>
          <w:numId w:val="3"/>
        </w:numPr>
      </w:pPr>
      <w:r>
        <w:t xml:space="preserve">Cease all trading in the relevant security immediately</w:t>
      </w:r>
    </w:p>
    <w:p>
      <w:pPr>
        <w:pStyle w:val="ListParagraph"/>
        <w:numPr>
          <w:ilvl w:val="0"/>
          <w:numId w:val="3"/>
        </w:numPr>
      </w:pPr>
      <w:r>
        <w:t xml:space="preserve">Do not discuss the information with colleagues unless specifically authorized</w:t>
      </w:r>
    </w:p>
    <w:p>
      <w:pPr>
        <w:pStyle w:val="ListParagraph"/>
        <w:numPr>
          <w:ilvl w:val="0"/>
          <w:numId w:val="3"/>
        </w:numPr>
      </w:pPr>
      <w:r>
        <w:t xml:space="preserve">Contact the Chief Compliance Officer or Legal Department immediately</w:t>
      </w:r>
    </w:p>
    <w:p>
      <w:pPr>
        <w:pStyle w:val="ListParagraph"/>
        <w:numPr>
          <w:ilvl w:val="0"/>
          <w:numId w:val="3"/>
        </w:numPr>
      </w:pPr>
      <w:r>
        <w:t xml:space="preserve">Document the receipt of information, including source, date, and nature</w:t>
      </w:r>
    </w:p>
    <w:p>
      <w:pPr>
        <w:pStyle w:val="ListParagraph"/>
        <w:numPr>
          <w:ilvl w:val="0"/>
          <w:numId w:val="2"/>
        </w:numPr>
      </w:pPr>
      <w:r>
        <w:t xml:space="preserve">CCO: compliance@apexfinancial.com | Direct line: ext. 4100</w:t>
      </w:r>
    </w:p>
    <w:p>
      <w:pPr>
        <w:pStyle w:val="ListParagraph"/>
        <w:numPr>
          <w:ilvl w:val="0"/>
          <w:numId w:val="2"/>
        </w:numPr>
      </w:pPr>
      <w:r>
        <w:t xml:space="preserve">Ethics Hotline (anonymous): 1-800-AFG-ETHX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0404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2026-05-18T16:12:27.931Z</dcterms:created>
  <dcterms:modified xsi:type="dcterms:W3CDTF">2026-05-18T16:12:27.931Z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