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Style w:val="Heading1"/>
      </w:pPr>
      <w:r>
        <w:t xml:space="preserve">Annual Performance Review Process &amp; Guidelines</w:t>
      </w:r>
    </w:p>
    <w:p>
      <w:r>
        <w:rPr>
          <w:i/>
          <w:iCs/>
          <w:color w:val="666666"/>
        </w:rPr>
        <w:t xml:space="preserve">Apex Financial Group | Human Resources | HR-007 | Review Cycle: January–February Each Year</w:t>
      </w:r>
    </w:p>
    <w:p>
      <w:r>
        <w:t xml:space="preserve"/>
      </w:r>
    </w:p>
    <w:p>
      <w:pPr>
        <w:pStyle w:val="Heading2"/>
      </w:pPr>
      <w:r>
        <w:t xml:space="preserve">1. Performance Review Timeline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340"/>
        <w:gridCol w:w="3120"/>
        <w:gridCol w:w="3900"/>
      </w:tblGrid>
      <w:tr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F386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Period</w:t>
            </w:r>
          </w:p>
        </w:tc>
        <w:tc>
          <w:tcPr>
            <w:tcW w:type="dxa" w:w="31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F386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Activity</w:t>
            </w:r>
          </w:p>
        </w:tc>
        <w:tc>
          <w:tcPr>
            <w:tcW w:type="dxa" w:w="39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F386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Responsible Party</w:t>
            </w:r>
          </w:p>
        </w:tc>
      </w:tr>
      <w:tr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2"/>
                <w:szCs w:val="22"/>
              </w:rPr>
              <w:t xml:space="preserve">November 15-30</w:t>
            </w:r>
          </w:p>
        </w:tc>
        <w:tc>
          <w:tcPr>
            <w:tcW w:type="dxa" w:w="31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2"/>
                <w:szCs w:val="22"/>
              </w:rPr>
              <w:t xml:space="preserve">Goal-setting calibration for next year begins</w:t>
            </w:r>
          </w:p>
        </w:tc>
        <w:tc>
          <w:tcPr>
            <w:tcW w:type="dxa" w:w="39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2"/>
                <w:szCs w:val="22"/>
              </w:rPr>
              <w:t xml:space="preserve">All Managers</w:t>
            </w:r>
          </w:p>
        </w:tc>
      </w:tr>
      <w:tr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BF3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2"/>
                <w:szCs w:val="22"/>
              </w:rPr>
              <w:t xml:space="preserve">January 5-20</w:t>
            </w:r>
          </w:p>
        </w:tc>
        <w:tc>
          <w:tcPr>
            <w:tcW w:type="dxa" w:w="31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BF3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2"/>
                <w:szCs w:val="22"/>
              </w:rPr>
              <w:t xml:space="preserve">Employee self-assessment submission</w:t>
            </w:r>
          </w:p>
        </w:tc>
        <w:tc>
          <w:tcPr>
            <w:tcW w:type="dxa" w:w="39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BF3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2"/>
                <w:szCs w:val="22"/>
              </w:rPr>
              <w:t xml:space="preserve">All Employees</w:t>
            </w:r>
          </w:p>
        </w:tc>
      </w:tr>
      <w:tr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2"/>
                <w:szCs w:val="22"/>
              </w:rPr>
              <w:t xml:space="preserve">January 21 – February 10</w:t>
            </w:r>
          </w:p>
        </w:tc>
        <w:tc>
          <w:tcPr>
            <w:tcW w:type="dxa" w:w="31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2"/>
                <w:szCs w:val="22"/>
              </w:rPr>
              <w:t xml:space="preserve">Manager evaluations completed in Workday</w:t>
            </w:r>
          </w:p>
        </w:tc>
        <w:tc>
          <w:tcPr>
            <w:tcW w:type="dxa" w:w="39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2"/>
                <w:szCs w:val="22"/>
              </w:rPr>
              <w:t xml:space="preserve">All Managers</w:t>
            </w:r>
          </w:p>
        </w:tc>
      </w:tr>
      <w:tr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BF3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2"/>
                <w:szCs w:val="22"/>
              </w:rPr>
              <w:t xml:space="preserve">February 11-20</w:t>
            </w:r>
          </w:p>
        </w:tc>
        <w:tc>
          <w:tcPr>
            <w:tcW w:type="dxa" w:w="31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BF3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2"/>
                <w:szCs w:val="22"/>
              </w:rPr>
              <w:t xml:space="preserve">Calibration sessions by department</w:t>
            </w:r>
          </w:p>
        </w:tc>
        <w:tc>
          <w:tcPr>
            <w:tcW w:type="dxa" w:w="39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BF3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2"/>
                <w:szCs w:val="22"/>
              </w:rPr>
              <w:t xml:space="preserve">Senior Management + HR</w:t>
            </w:r>
          </w:p>
        </w:tc>
      </w:tr>
      <w:tr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2"/>
                <w:szCs w:val="22"/>
              </w:rPr>
              <w:t xml:space="preserve">February 21-28</w:t>
            </w:r>
          </w:p>
        </w:tc>
        <w:tc>
          <w:tcPr>
            <w:tcW w:type="dxa" w:w="31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2"/>
                <w:szCs w:val="22"/>
              </w:rPr>
              <w:t xml:space="preserve">Individual review meetings</w:t>
            </w:r>
          </w:p>
        </w:tc>
        <w:tc>
          <w:tcPr>
            <w:tcW w:type="dxa" w:w="39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2"/>
                <w:szCs w:val="22"/>
              </w:rPr>
              <w:t xml:space="preserve">Manager + Employee</w:t>
            </w:r>
          </w:p>
        </w:tc>
      </w:tr>
      <w:tr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BF3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2"/>
                <w:szCs w:val="22"/>
              </w:rPr>
              <w:t xml:space="preserve">March 1-5</w:t>
            </w:r>
          </w:p>
        </w:tc>
        <w:tc>
          <w:tcPr>
            <w:tcW w:type="dxa" w:w="31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BF3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2"/>
                <w:szCs w:val="22"/>
              </w:rPr>
              <w:t xml:space="preserve">Compensation decisions communicated</w:t>
            </w:r>
          </w:p>
        </w:tc>
        <w:tc>
          <w:tcPr>
            <w:tcW w:type="dxa" w:w="39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BF3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2"/>
                <w:szCs w:val="22"/>
              </w:rPr>
              <w:t xml:space="preserve">HR + Finance</w:t>
            </w:r>
          </w:p>
        </w:tc>
      </w:tr>
      <w:tr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2"/>
                <w:szCs w:val="22"/>
              </w:rPr>
              <w:t xml:space="preserve">March 15</w:t>
            </w:r>
          </w:p>
        </w:tc>
        <w:tc>
          <w:tcPr>
            <w:tcW w:type="dxa" w:w="31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2"/>
                <w:szCs w:val="22"/>
              </w:rPr>
              <w:t xml:space="preserve">Bonus payments (where applicable)</w:t>
            </w:r>
          </w:p>
        </w:tc>
        <w:tc>
          <w:tcPr>
            <w:tcW w:type="dxa" w:w="39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2"/>
                <w:szCs w:val="22"/>
              </w:rPr>
              <w:t xml:space="preserve">Payroll</w:t>
            </w:r>
          </w:p>
        </w:tc>
      </w:tr>
    </w:tbl>
    <w:p>
      <w:r>
        <w:t xml:space="preserve"/>
      </w:r>
    </w:p>
    <w:p>
      <w:pPr>
        <w:pStyle w:val="Heading2"/>
      </w:pPr>
      <w:r>
        <w:t xml:space="preserve">2. Performance Rating Scale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560"/>
        <w:gridCol w:w="2340"/>
        <w:gridCol w:w="2340"/>
        <w:gridCol w:w="3120"/>
      </w:tblGrid>
      <w:tr>
        <w:tc>
          <w:tcPr>
            <w:tcW w:type="dxa" w:w="1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F386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Rating</w:t>
            </w:r>
          </w:p>
        </w:tc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F386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Label</w:t>
            </w:r>
          </w:p>
        </w:tc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F386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Distribution Target</w:t>
            </w:r>
          </w:p>
        </w:tc>
        <w:tc>
          <w:tcPr>
            <w:tcW w:type="dxa" w:w="31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F386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Compensation Impact</w:t>
            </w:r>
          </w:p>
        </w:tc>
      </w:tr>
      <w:tr>
        <w:tc>
          <w:tcPr>
            <w:tcW w:type="dxa" w:w="1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2"/>
                <w:szCs w:val="22"/>
              </w:rPr>
              <w:t xml:space="preserve">5</w:t>
            </w:r>
          </w:p>
        </w:tc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2"/>
                <w:szCs w:val="22"/>
              </w:rPr>
              <w:t xml:space="preserve">Exceptional</w:t>
            </w:r>
          </w:p>
        </w:tc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2"/>
                <w:szCs w:val="22"/>
              </w:rPr>
              <w:t xml:space="preserve">5-10%</w:t>
            </w:r>
          </w:p>
        </w:tc>
        <w:tc>
          <w:tcPr>
            <w:tcW w:type="dxa" w:w="31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2"/>
                <w:szCs w:val="22"/>
              </w:rPr>
              <w:t xml:space="preserve">Bonus: 150-200% target; Merit: 5-8%</w:t>
            </w:r>
          </w:p>
        </w:tc>
      </w:tr>
      <w:tr>
        <w:tc>
          <w:tcPr>
            <w:tcW w:type="dxa" w:w="1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BF3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2"/>
                <w:szCs w:val="22"/>
              </w:rPr>
              <w:t xml:space="preserve">4</w:t>
            </w:r>
          </w:p>
        </w:tc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BF3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2"/>
                <w:szCs w:val="22"/>
              </w:rPr>
              <w:t xml:space="preserve">Exceeds Expectations</w:t>
            </w:r>
          </w:p>
        </w:tc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BF3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2"/>
                <w:szCs w:val="22"/>
              </w:rPr>
              <w:t xml:space="preserve">20-25%</w:t>
            </w:r>
          </w:p>
        </w:tc>
        <w:tc>
          <w:tcPr>
            <w:tcW w:type="dxa" w:w="31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BF3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2"/>
                <w:szCs w:val="22"/>
              </w:rPr>
              <w:t xml:space="preserve">Bonus: 110-150% target; Merit: 3-5%</w:t>
            </w:r>
          </w:p>
        </w:tc>
      </w:tr>
      <w:tr>
        <w:tc>
          <w:tcPr>
            <w:tcW w:type="dxa" w:w="1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2"/>
                <w:szCs w:val="22"/>
              </w:rPr>
              <w:t xml:space="preserve">3</w:t>
            </w:r>
          </w:p>
        </w:tc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2"/>
                <w:szCs w:val="22"/>
              </w:rPr>
              <w:t xml:space="preserve">Meets Expectations</w:t>
            </w:r>
          </w:p>
        </w:tc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2"/>
                <w:szCs w:val="22"/>
              </w:rPr>
              <w:t xml:space="preserve">50-60%</w:t>
            </w:r>
          </w:p>
        </w:tc>
        <w:tc>
          <w:tcPr>
            <w:tcW w:type="dxa" w:w="31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2"/>
                <w:szCs w:val="22"/>
              </w:rPr>
              <w:t xml:space="preserve">Bonus: 80-110% target; Merit: 1-3%</w:t>
            </w:r>
          </w:p>
        </w:tc>
      </w:tr>
      <w:tr>
        <w:tc>
          <w:tcPr>
            <w:tcW w:type="dxa" w:w="1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BF3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2"/>
                <w:szCs w:val="22"/>
              </w:rPr>
              <w:t xml:space="preserve">2</w:t>
            </w:r>
          </w:p>
        </w:tc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BF3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2"/>
                <w:szCs w:val="22"/>
              </w:rPr>
              <w:t xml:space="preserve">Needs Improvement</w:t>
            </w:r>
          </w:p>
        </w:tc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BF3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2"/>
                <w:szCs w:val="22"/>
              </w:rPr>
              <w:t xml:space="preserve">10-15%</w:t>
            </w:r>
          </w:p>
        </w:tc>
        <w:tc>
          <w:tcPr>
            <w:tcW w:type="dxa" w:w="31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BF3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2"/>
                <w:szCs w:val="22"/>
              </w:rPr>
              <w:t xml:space="preserve">Bonus: 0-50% target; Merit: 0%</w:t>
            </w:r>
          </w:p>
        </w:tc>
      </w:tr>
      <w:tr>
        <w:tc>
          <w:tcPr>
            <w:tcW w:type="dxa" w:w="1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2"/>
                <w:szCs w:val="22"/>
              </w:rPr>
              <w:t xml:space="preserve">1</w:t>
            </w:r>
          </w:p>
        </w:tc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2"/>
                <w:szCs w:val="22"/>
              </w:rPr>
              <w:t xml:space="preserve">Unsatisfactory</w:t>
            </w:r>
          </w:p>
        </w:tc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2"/>
                <w:szCs w:val="22"/>
              </w:rPr>
              <w:t xml:space="preserve">&lt;5%</w:t>
            </w:r>
          </w:p>
        </w:tc>
        <w:tc>
          <w:tcPr>
            <w:tcW w:type="dxa" w:w="31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2"/>
                <w:szCs w:val="22"/>
              </w:rPr>
              <w:t xml:space="preserve">No bonus; PIP required within 30 days</w:t>
            </w:r>
          </w:p>
        </w:tc>
      </w:tr>
    </w:tbl>
    <w:p>
      <w:r>
        <w:t xml:space="preserve"/>
      </w:r>
    </w:p>
    <w:p>
      <w:pPr>
        <w:pStyle w:val="Heading2"/>
      </w:pPr>
      <w:r>
        <w:t xml:space="preserve">3. Competency Framework</w:t>
      </w:r>
    </w:p>
    <w:p>
      <w:r>
        <w:t xml:space="preserve">All employees are evaluated on five core competencies, regardless of role:</w:t>
      </w:r>
    </w:p>
    <w:p>
      <w:pPr>
        <w:pStyle w:val="ListParagraph"/>
        <w:numPr>
          <w:ilvl w:val="0"/>
          <w:numId w:val="2"/>
        </w:numPr>
      </w:pPr>
      <w:r>
        <w:t xml:space="preserve">Client Focus: Prioritises client needs and builds long-term relationships</w:t>
      </w:r>
    </w:p>
    <w:p>
      <w:pPr>
        <w:pStyle w:val="ListParagraph"/>
        <w:numPr>
          <w:ilvl w:val="0"/>
          <w:numId w:val="2"/>
        </w:numPr>
      </w:pPr>
      <w:r>
        <w:t xml:space="preserve">Integrity &amp; Risk Awareness: Operates ethically, complies with policies, flags issues promptly</w:t>
      </w:r>
    </w:p>
    <w:p>
      <w:pPr>
        <w:pStyle w:val="ListParagraph"/>
        <w:numPr>
          <w:ilvl w:val="0"/>
          <w:numId w:val="2"/>
        </w:numPr>
      </w:pPr>
      <w:r>
        <w:t xml:space="preserve">Collaboration: Works effectively across teams, shares knowledge, supports colleagues</w:t>
      </w:r>
    </w:p>
    <w:p>
      <w:pPr>
        <w:pStyle w:val="ListParagraph"/>
        <w:numPr>
          <w:ilvl w:val="0"/>
          <w:numId w:val="2"/>
        </w:numPr>
      </w:pPr>
      <w:r>
        <w:t xml:space="preserve">Results Orientation: Delivers high-quality work consistently, meets deadlines</w:t>
      </w:r>
    </w:p>
    <w:p>
      <w:pPr>
        <w:pStyle w:val="ListParagraph"/>
        <w:numPr>
          <w:ilvl w:val="0"/>
          <w:numId w:val="2"/>
        </w:numPr>
      </w:pPr>
      <w:r>
        <w:t xml:space="preserve">Leadership &amp; Development: Coaches others, seeks feedback, pursues continuous improvement</w:t>
      </w:r>
    </w:p>
    <w:p>
      <w:r>
        <w:t xml:space="preserve"/>
      </w:r>
    </w:p>
    <w:p>
      <w:pPr>
        <w:pStyle w:val="Heading2"/>
      </w:pPr>
      <w:r>
        <w:t xml:space="preserve">4. Role-Specific Performance Goals</w:t>
      </w:r>
    </w:p>
    <w:p>
      <w:r>
        <w:t xml:space="preserve">In addition to core competencies, each employee must have 3-5 SMART goals aligned to their role and department objectives. Goals are set during Q4 of the prior year and reviewed at mid-year.</w:t>
      </w:r>
    </w:p>
    <w:p>
      <w:r>
        <w:t xml:space="preserve"/>
      </w:r>
    </w:p>
    <w:p>
      <w:pPr>
        <w:pStyle w:val="Heading2"/>
      </w:pPr>
      <w:r>
        <w:t xml:space="preserve">5. Compensation &amp; Bonus Structure</w:t>
      </w:r>
    </w:p>
    <w:p>
      <w:pPr>
        <w:pStyle w:val="ListParagraph"/>
        <w:numPr>
          <w:ilvl w:val="0"/>
          <w:numId w:val="2"/>
        </w:numPr>
      </w:pPr>
      <w:r>
        <w:t xml:space="preserve">Base salary adjustments: Effective April 1 each year</w:t>
      </w:r>
    </w:p>
    <w:p>
      <w:pPr>
        <w:pStyle w:val="ListParagraph"/>
        <w:numPr>
          <w:ilvl w:val="0"/>
          <w:numId w:val="2"/>
        </w:numPr>
      </w:pPr>
      <w:r>
        <w:t xml:space="preserve">Annual discretionary bonus: Based on individual rating, desk performance, and firm profitability</w:t>
      </w:r>
    </w:p>
    <w:p>
      <w:pPr>
        <w:pStyle w:val="ListParagraph"/>
        <w:numPr>
          <w:ilvl w:val="0"/>
          <w:numId w:val="2"/>
        </w:numPr>
      </w:pPr>
      <w:r>
        <w:t xml:space="preserve">Bonus pool allocation: Revenue-generating roles receive higher weighting on desk P&amp;L</w:t>
      </w:r>
    </w:p>
    <w:p>
      <w:pPr>
        <w:pStyle w:val="ListParagraph"/>
        <w:numPr>
          <w:ilvl w:val="0"/>
          <w:numId w:val="2"/>
        </w:numPr>
      </w:pPr>
      <w:r>
        <w:t xml:space="preserve">Minimum tenure for bonus eligibility: Hired on or before September 30 of performance year</w:t>
      </w:r>
    </w:p>
    <w:p>
      <w:pPr>
        <w:pStyle w:val="ListParagraph"/>
        <w:numPr>
          <w:ilvl w:val="0"/>
          <w:numId w:val="2"/>
        </w:numPr>
      </w:pPr>
      <w:r>
        <w:t xml:space="preserve">Clawback: Bonus subject to 1-year clawback for compliance violations or voluntary resignation</w:t>
      </w:r>
    </w:p>
    <w:p>
      <w:r>
        <w:t xml:space="preserve"/>
      </w:r>
    </w:p>
    <w:p>
      <w:pPr>
        <w:pStyle w:val="Heading2"/>
      </w:pPr>
      <w:r>
        <w:t xml:space="preserve">6. Performance Improvement Plan (PIP)</w:t>
      </w:r>
    </w:p>
    <w:p>
      <w:r>
        <w:t xml:space="preserve">Employees rated 1 (Unsatisfactory) or 2 (Needs Improvement) for two consecutive cycles will be placed on a formal PIP:</w:t>
      </w:r>
    </w:p>
    <w:p>
      <w:pPr>
        <w:pStyle w:val="ListParagraph"/>
        <w:numPr>
          <w:ilvl w:val="0"/>
          <w:numId w:val="3"/>
        </w:numPr>
      </w:pPr>
      <w:r>
        <w:t xml:space="preserve">HR and manager develop 90-day improvement plan with specific measurable targets</w:t>
      </w:r>
    </w:p>
    <w:p>
      <w:pPr>
        <w:pStyle w:val="ListParagraph"/>
        <w:numPr>
          <w:ilvl w:val="0"/>
          <w:numId w:val="3"/>
        </w:numPr>
      </w:pPr>
      <w:r>
        <w:t xml:space="preserve">Bi-weekly check-in meetings documented in Workday</w:t>
      </w:r>
    </w:p>
    <w:p>
      <w:pPr>
        <w:pStyle w:val="ListParagraph"/>
        <w:numPr>
          <w:ilvl w:val="0"/>
          <w:numId w:val="3"/>
        </w:numPr>
      </w:pPr>
      <w:r>
        <w:t xml:space="preserve">Mid-PIP assessment at 45 days</w:t>
      </w:r>
    </w:p>
    <w:p>
      <w:pPr>
        <w:pStyle w:val="ListParagraph"/>
        <w:numPr>
          <w:ilvl w:val="0"/>
          <w:numId w:val="3"/>
        </w:numPr>
      </w:pPr>
      <w:r>
        <w:t xml:space="preserve">Final assessment at 90 days: successful completion, extension, or separation</w:t>
      </w:r>
    </w:p>
    <w:p>
      <w:r>
        <w:t xml:space="preserve"/>
      </w:r>
    </w:p>
    <w:p>
      <w:pPr>
        <w:pStyle w:val="Heading2"/>
      </w:pPr>
      <w:r>
        <w:t xml:space="preserve">7. Workday Access &amp; Support</w:t>
      </w:r>
    </w:p>
    <w:p>
      <w:pPr>
        <w:pStyle w:val="ListParagraph"/>
        <w:numPr>
          <w:ilvl w:val="0"/>
          <w:numId w:val="2"/>
        </w:numPr>
      </w:pPr>
      <w:r>
        <w:t xml:space="preserve">Performance management in Workday: https://wd5.myworkday.com/apexfinancial</w:t>
      </w:r>
    </w:p>
    <w:p>
      <w:pPr>
        <w:pStyle w:val="ListParagraph"/>
        <w:numPr>
          <w:ilvl w:val="0"/>
          <w:numId w:val="2"/>
        </w:numPr>
      </w:pPr>
      <w:r>
        <w:t xml:space="preserve">HR Business Partners: hr.bp@apexfinancial.com | ext. 6100</w:t>
      </w:r>
    </w:p>
    <w:p>
      <w:pPr>
        <w:pStyle w:val="ListParagraph"/>
        <w:numPr>
          <w:ilvl w:val="0"/>
          <w:numId w:val="2"/>
        </w:numPr>
      </w:pPr>
      <w:r>
        <w:t xml:space="preserve">Compensation queries: compensation@apexfinancial.com | ext. 6200</w:t>
      </w:r>
    </w:p>
    <w:sectPr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  <w:num w:numId="3">
    <w:abstractNumId w:val="3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180" w:before="360"/>
      <w:outlineLvl w:val="0"/>
    </w:pPr>
    <w:rPr>
      <w:rFonts w:ascii="Arial" w:cs="Arial" w:eastAsia="Arial" w:hAnsi="Arial"/>
      <w:b/>
      <w:bCs/>
      <w:color w:val="1F3864"/>
      <w:sz w:val="36"/>
      <w:szCs w:val="36"/>
    </w:rPr>
  </w:style>
  <w:style w:type="paragraph" w:styleId="Heading2">
    <w:name w:val="Heading 2"/>
    <w:basedOn w:val="Normal"/>
    <w:next w:val="Normal"/>
    <w:qFormat/>
    <w:pPr>
      <w:spacing w:after="120" w:before="240"/>
      <w:outlineLvl w:val="1"/>
    </w:pPr>
    <w:rPr>
      <w:rFonts w:ascii="Arial" w:cs="Arial" w:eastAsia="Arial" w:hAnsi="Arial"/>
      <w:b/>
      <w:bCs/>
      <w:color w:val="2E75B6"/>
      <w:sz w:val="28"/>
      <w:szCs w:val="28"/>
    </w:rPr>
  </w:style>
  <w:style w:type="paragraph" w:styleId="Heading3">
    <w:name w:val="Heading 3"/>
    <w:basedOn w:val="Normal"/>
    <w:next w:val="Normal"/>
    <w:qFormat/>
    <w:pPr>
      <w:spacing w:after="80" w:before="180"/>
      <w:outlineLvl w:val="2"/>
    </w:pPr>
    <w:rPr>
      <w:rFonts w:ascii="Arial" w:cs="Arial" w:eastAsia="Arial" w:hAnsi="Arial"/>
      <w:b/>
      <w:bCs/>
      <w:color w:val="404040"/>
      <w:sz w:val="24"/>
      <w:szCs w:val="24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2026-05-18T16:12:27.903Z</dcterms:created>
  <dcterms:modified xsi:type="dcterms:W3CDTF">2026-05-18T16:12:27.903Z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