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Enterprise Risk Assessment Framework 2025</w:t>
      </w:r>
    </w:p>
    <w:p>
      <w:r>
        <w:rPr>
          <w:i/>
          <w:iCs/>
          <w:color w:val="666666"/>
        </w:rPr>
        <w:t xml:space="preserve">Apex Financial Group | Risk Management | Document RM-006 | Confidential</w:t>
      </w:r>
    </w:p>
    <w:p>
      <w:r>
        <w:t xml:space="preserve"/>
      </w:r>
    </w:p>
    <w:p>
      <w:pPr>
        <w:pStyle w:val="Heading2"/>
      </w:pPr>
      <w:r>
        <w:t xml:space="preserve">1. Risk Management Philosophy</w:t>
      </w:r>
    </w:p>
    <w:p>
      <w:r>
        <w:t xml:space="preserve">Apex Financial Group operates within a three-lines-of-defence model. The first line (business units) owns and manages risk. The second line (Risk Management and Compliance) provides oversight and challenge. The third line (Internal Audit) provides independent assurance.</w:t>
      </w:r>
    </w:p>
    <w:p>
      <w:r>
        <w:t xml:space="preserve"/>
      </w:r>
    </w:p>
    <w:p>
      <w:pPr>
        <w:pStyle w:val="Heading2"/>
      </w:pPr>
      <w:r>
        <w:t xml:space="preserve">2. Risk Categories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06"/>
        <w:gridCol w:w="4680"/>
        <w:gridCol w:w="2574"/>
      </w:tblGrid>
      <w:tr>
        <w:tc>
          <w:tcPr>
            <w:tcW w:type="dxa" w:w="210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Risk Type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Description</w:t>
            </w:r>
          </w:p>
        </w:tc>
        <w:tc>
          <w:tcPr>
            <w:tcW w:type="dxa" w:w="257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Owner</w:t>
            </w:r>
          </w:p>
        </w:tc>
      </w:tr>
      <w:tr>
        <w:tc>
          <w:tcPr>
            <w:tcW w:type="dxa" w:w="210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Market Risk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Losses from adverse movements in market prices, rates, or volatilities</w:t>
            </w:r>
          </w:p>
        </w:tc>
        <w:tc>
          <w:tcPr>
            <w:tcW w:type="dxa" w:w="257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Chief Risk Officer</w:t>
            </w:r>
          </w:p>
        </w:tc>
      </w:tr>
      <w:tr>
        <w:tc>
          <w:tcPr>
            <w:tcW w:type="dxa" w:w="210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Credit Risk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Counterparty default on financial obligations</w:t>
            </w:r>
          </w:p>
        </w:tc>
        <w:tc>
          <w:tcPr>
            <w:tcW w:type="dxa" w:w="257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Credit Risk Committee</w:t>
            </w:r>
          </w:p>
        </w:tc>
      </w:tr>
      <w:tr>
        <w:tc>
          <w:tcPr>
            <w:tcW w:type="dxa" w:w="210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Operational Risk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Failures of internal processes, people, systems, or external events</w:t>
            </w:r>
          </w:p>
        </w:tc>
        <w:tc>
          <w:tcPr>
            <w:tcW w:type="dxa" w:w="257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COO + Business Units</w:t>
            </w:r>
          </w:p>
        </w:tc>
      </w:tr>
      <w:tr>
        <w:tc>
          <w:tcPr>
            <w:tcW w:type="dxa" w:w="210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Liquidity Risk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Inability to meet financial obligations when due</w:t>
            </w:r>
          </w:p>
        </w:tc>
        <w:tc>
          <w:tcPr>
            <w:tcW w:type="dxa" w:w="257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Treasury Department</w:t>
            </w:r>
          </w:p>
        </w:tc>
      </w:tr>
      <w:tr>
        <w:tc>
          <w:tcPr>
            <w:tcW w:type="dxa" w:w="210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Compliance Risk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Failure to comply with laws, regulations, or internal policies</w:t>
            </w:r>
          </w:p>
        </w:tc>
        <w:tc>
          <w:tcPr>
            <w:tcW w:type="dxa" w:w="257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Chief Compliance Officer</w:t>
            </w:r>
          </w:p>
        </w:tc>
      </w:tr>
      <w:tr>
        <w:tc>
          <w:tcPr>
            <w:tcW w:type="dxa" w:w="210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Reputational Risk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Negative public perception impacting business relationships</w:t>
            </w:r>
          </w:p>
        </w:tc>
        <w:tc>
          <w:tcPr>
            <w:tcW w:type="dxa" w:w="257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CEO + Communications</w:t>
            </w:r>
          </w:p>
        </w:tc>
      </w:tr>
      <w:tr>
        <w:tc>
          <w:tcPr>
            <w:tcW w:type="dxa" w:w="210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Cyber Risk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Data breaches, system failures, cyberattacks</w:t>
            </w:r>
          </w:p>
        </w:tc>
        <w:tc>
          <w:tcPr>
            <w:tcW w:type="dxa" w:w="2574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Chief Information Security Officer</w:t>
            </w:r>
          </w:p>
        </w:tc>
      </w:tr>
    </w:tbl>
    <w:p>
      <w:r>
        <w:t xml:space="preserve"/>
      </w:r>
    </w:p>
    <w:p>
      <w:pPr>
        <w:pStyle w:val="Heading2"/>
      </w:pPr>
      <w:r>
        <w:t xml:space="preserve">3. Risk Appetite Statement</w:t>
      </w:r>
    </w:p>
    <w:p>
      <w:r>
        <w:t xml:space="preserve">Apex Financial Group maintains a moderate risk appetite, defined as follows:</w:t>
      </w:r>
    </w:p>
    <w:p>
      <w:pPr>
        <w:pStyle w:val="ListParagraph"/>
        <w:numPr>
          <w:ilvl w:val="0"/>
          <w:numId w:val="2"/>
        </w:numPr>
      </w:pPr>
      <w:r>
        <w:t xml:space="preserve">Market risk VaR limit: $50 million at 99% confidence, 10-day holding period</w:t>
      </w:r>
    </w:p>
    <w:p>
      <w:pPr>
        <w:pStyle w:val="ListParagraph"/>
        <w:numPr>
          <w:ilvl w:val="0"/>
          <w:numId w:val="2"/>
        </w:numPr>
      </w:pPr>
      <w:r>
        <w:t xml:space="preserve">Credit exposure limit: No single counterparty to exceed 10% of Tier 1 capital</w:t>
      </w:r>
    </w:p>
    <w:p>
      <w:pPr>
        <w:pStyle w:val="ListParagraph"/>
        <w:numPr>
          <w:ilvl w:val="0"/>
          <w:numId w:val="2"/>
        </w:numPr>
      </w:pPr>
      <w:r>
        <w:t xml:space="preserve">Operational loss tolerance: No single incident to exceed $5 million without Board notification</w:t>
      </w:r>
    </w:p>
    <w:p>
      <w:pPr>
        <w:pStyle w:val="ListParagraph"/>
        <w:numPr>
          <w:ilvl w:val="0"/>
          <w:numId w:val="2"/>
        </w:numPr>
      </w:pPr>
      <w:r>
        <w:t xml:space="preserve">Zero tolerance: Regulatory violations, financial crimes, data breaches involving client PII</w:t>
      </w:r>
    </w:p>
    <w:p>
      <w:r>
        <w:t xml:space="preserve"/>
      </w:r>
    </w:p>
    <w:p>
      <w:pPr>
        <w:pStyle w:val="Heading2"/>
      </w:pPr>
      <w:r>
        <w:t xml:space="preserve">4. Risk Escalation Matrix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1560"/>
        <w:gridCol w:w="2340"/>
        <w:gridCol w:w="2340"/>
        <w:gridCol w:w="1560"/>
      </w:tblGrid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Severity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Financial Impact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Notify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Timeline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Escalate To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Low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&lt; $100K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Direct Manager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End of week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None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Medium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$100K-$1M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Department Head + Risk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Within 24 hours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CRO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High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$1M-$10M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C-Suite + Risk Mgmt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Within 4 hours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CEO + Board Risk Committee</w:t>
            </w:r>
          </w:p>
        </w:tc>
      </w:tr>
      <w:tr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Critical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&gt; $10M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Full Board + Regulators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Immediate</w:t>
            </w:r>
          </w:p>
        </w:tc>
        <w:tc>
          <w:tcPr>
            <w:tcW w:type="dxa" w:w="15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2"/>
                <w:szCs w:val="22"/>
              </w:rPr>
              <w:t xml:space="preserve">Full Board + External Counsel</w:t>
            </w:r>
          </w:p>
        </w:tc>
      </w:tr>
    </w:tbl>
    <w:p>
      <w:r>
        <w:t xml:space="preserve"/>
      </w:r>
    </w:p>
    <w:p>
      <w:pPr>
        <w:pStyle w:val="Heading2"/>
      </w:pPr>
      <w:r>
        <w:t xml:space="preserve">5. Key Risk Indicators (KRIs)</w:t>
      </w:r>
    </w:p>
    <w:p>
      <w:r>
        <w:t xml:space="preserve">The following KRIs are monitored daily by the Risk Management team:</w:t>
      </w:r>
    </w:p>
    <w:p>
      <w:pPr>
        <w:pStyle w:val="ListParagraph"/>
        <w:numPr>
          <w:ilvl w:val="0"/>
          <w:numId w:val="2"/>
        </w:numPr>
      </w:pPr>
      <w:r>
        <w:t xml:space="preserve">Portfolio VaR vs. limit utilisation (alert at 80%, breach at 100%)</w:t>
      </w:r>
    </w:p>
    <w:p>
      <w:pPr>
        <w:pStyle w:val="ListParagraph"/>
        <w:numPr>
          <w:ilvl w:val="0"/>
          <w:numId w:val="2"/>
        </w:numPr>
      </w:pPr>
      <w:r>
        <w:t xml:space="preserve">Number of failed trades in past 24 hours (alert at 5, breach at 10)</w:t>
      </w:r>
    </w:p>
    <w:p>
      <w:pPr>
        <w:pStyle w:val="ListParagraph"/>
        <w:numPr>
          <w:ilvl w:val="0"/>
          <w:numId w:val="2"/>
        </w:numPr>
      </w:pPr>
      <w:r>
        <w:t xml:space="preserve">System availability (SLA: 99.9% uptime; alert below 99.5%)</w:t>
      </w:r>
    </w:p>
    <w:p>
      <w:pPr>
        <w:pStyle w:val="ListParagraph"/>
        <w:numPr>
          <w:ilvl w:val="0"/>
          <w:numId w:val="2"/>
        </w:numPr>
      </w:pPr>
      <w:r>
        <w:t xml:space="preserve">Outstanding customer complaints (alert at 50, breach at 100 per month)</w:t>
      </w:r>
    </w:p>
    <w:p>
      <w:pPr>
        <w:pStyle w:val="ListParagraph"/>
        <w:numPr>
          <w:ilvl w:val="0"/>
          <w:numId w:val="2"/>
        </w:numPr>
      </w:pPr>
      <w:r>
        <w:t xml:space="preserve">Employee training completion rate (alert below 90%, breach below 80%)</w:t>
      </w:r>
    </w:p>
    <w:p>
      <w:r>
        <w:t xml:space="preserve"/>
      </w:r>
    </w:p>
    <w:p>
      <w:pPr>
        <w:pStyle w:val="Heading2"/>
      </w:pPr>
      <w:r>
        <w:t xml:space="preserve">6. Risk Committee Structure</w:t>
      </w:r>
    </w:p>
    <w:p>
      <w:pPr>
        <w:pStyle w:val="ListParagraph"/>
        <w:numPr>
          <w:ilvl w:val="0"/>
          <w:numId w:val="2"/>
        </w:numPr>
      </w:pPr>
      <w:r>
        <w:t xml:space="preserve">Board Risk Committee: Quarterly meetings, strategic risk oversight</w:t>
      </w:r>
    </w:p>
    <w:p>
      <w:pPr>
        <w:pStyle w:val="ListParagraph"/>
        <w:numPr>
          <w:ilvl w:val="0"/>
          <w:numId w:val="2"/>
        </w:numPr>
      </w:pPr>
      <w:r>
        <w:t xml:space="preserve">Executive Risk Committee: Monthly meetings, chaired by CEO</w:t>
      </w:r>
    </w:p>
    <w:p>
      <w:pPr>
        <w:pStyle w:val="ListParagraph"/>
        <w:numPr>
          <w:ilvl w:val="0"/>
          <w:numId w:val="2"/>
        </w:numPr>
      </w:pPr>
      <w:r>
        <w:t xml:space="preserve">Operational Risk Working Group: Weekly meetings, operational issues</w:t>
      </w:r>
    </w:p>
    <w:p>
      <w:pPr>
        <w:pStyle w:val="ListParagraph"/>
        <w:numPr>
          <w:ilvl w:val="0"/>
          <w:numId w:val="2"/>
        </w:numPr>
      </w:pPr>
      <w:r>
        <w:t xml:space="preserve">Credit Risk Committee: Weekly meetings, counterparty exposure review</w:t>
      </w:r>
    </w:p>
    <w:p>
      <w:pPr>
        <w:pStyle w:val="ListParagraph"/>
        <w:numPr>
          <w:ilvl w:val="0"/>
          <w:numId w:val="2"/>
        </w:numPr>
      </w:pPr>
      <w:r>
        <w:t xml:space="preserve">Risk contacts: risk@apexfinancial.com | CRO direct line: ext. 4400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F3864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40404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2026-05-18T16:12:27.881Z</dcterms:created>
  <dcterms:modified xsi:type="dcterms:W3CDTF">2026-05-18T16:12:27.881Z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