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Client Onboarding KYC Requirements Guide</w:t>
      </w:r>
    </w:p>
    <w:p>
      <w:r>
        <w:rPr>
          <w:i/>
          <w:iCs/>
          <w:color w:val="666666"/>
        </w:rPr>
        <w:t xml:space="preserve">Apex Financial Group | Operations Manual OM-003 | Version 2.4 | Last Updated: February 2025</w:t>
      </w:r>
    </w:p>
    <w:p>
      <w:r>
        <w:t xml:space="preserve"/>
      </w:r>
    </w:p>
    <w:p>
      <w:pPr>
        <w:pStyle w:val="Heading2"/>
      </w:pPr>
      <w:r>
        <w:t xml:space="preserve">1. Overview</w:t>
      </w:r>
    </w:p>
    <w:p>
      <w:r>
        <w:t xml:space="preserve">This guide provides relationship managers and operations staff with step-by-step instructions for completing Know Your Customer (KYC) requirements during the client onboarding process. All steps must be completed before any accounts are opened or services provided.</w:t>
      </w:r>
    </w:p>
    <w:p>
      <w:r>
        <w:t xml:space="preserve"/>
      </w:r>
    </w:p>
    <w:p>
      <w:pPr>
        <w:pStyle w:val="Heading2"/>
      </w:pPr>
      <w:r>
        <w:t xml:space="preserve">2. Individual Client Onboarding Checklist</w:t>
      </w:r>
    </w:p>
    <w:p>
      <w:pPr>
        <w:pStyle w:val="ListParagraph"/>
        <w:numPr>
          <w:ilvl w:val="0"/>
          <w:numId w:val="2"/>
        </w:numPr>
      </w:pPr>
      <w:r>
        <w:t xml:space="preserve">Obtain and verify government-issued photo ID (must be current, not expired)</w:t>
      </w:r>
    </w:p>
    <w:p>
      <w:pPr>
        <w:pStyle w:val="ListParagraph"/>
        <w:numPr>
          <w:ilvl w:val="0"/>
          <w:numId w:val="2"/>
        </w:numPr>
      </w:pPr>
      <w:r>
        <w:t xml:space="preserve">Confirm legal name matches ID exactly — any discrepancies require Legal review</w:t>
      </w:r>
    </w:p>
    <w:p>
      <w:pPr>
        <w:pStyle w:val="ListParagraph"/>
        <w:numPr>
          <w:ilvl w:val="0"/>
          <w:numId w:val="2"/>
        </w:numPr>
      </w:pPr>
      <w:r>
        <w:t xml:space="preserve">Verify residential address via utility bill, bank statement, or lease (less than 90 days old)</w:t>
      </w:r>
    </w:p>
    <w:p>
      <w:pPr>
        <w:pStyle w:val="ListParagraph"/>
        <w:numPr>
          <w:ilvl w:val="0"/>
          <w:numId w:val="2"/>
        </w:numPr>
      </w:pPr>
      <w:r>
        <w:t xml:space="preserve">Obtain SSN and consent to IRS W-9 form</w:t>
      </w:r>
    </w:p>
    <w:p>
      <w:pPr>
        <w:pStyle w:val="ListParagraph"/>
        <w:numPr>
          <w:ilvl w:val="0"/>
          <w:numId w:val="2"/>
        </w:numPr>
      </w:pPr>
      <w:r>
        <w:t xml:space="preserve">Complete FATCA/CRS questionnaire for foreign tax status</w:t>
      </w:r>
    </w:p>
    <w:p>
      <w:pPr>
        <w:pStyle w:val="ListParagraph"/>
        <w:numPr>
          <w:ilvl w:val="0"/>
          <w:numId w:val="2"/>
        </w:numPr>
      </w:pPr>
      <w:r>
        <w:t xml:space="preserve">Conduct OFAC screening using ComplianceTrack — document screenshot of clear result</w:t>
      </w:r>
    </w:p>
    <w:p>
      <w:pPr>
        <w:pStyle w:val="ListParagraph"/>
        <w:numPr>
          <w:ilvl w:val="0"/>
          <w:numId w:val="2"/>
        </w:numPr>
      </w:pPr>
      <w:r>
        <w:t xml:space="preserve">Assess risk rating using the Customer Risk Assessment Form (CRAF-001)</w:t>
      </w:r>
    </w:p>
    <w:p>
      <w:pPr>
        <w:pStyle w:val="ListParagraph"/>
        <w:numPr>
          <w:ilvl w:val="0"/>
          <w:numId w:val="2"/>
        </w:numPr>
      </w:pPr>
      <w:r>
        <w:t xml:space="preserve">For high-risk rating: obtain senior manager sign-off before proceeding</w:t>
      </w:r>
    </w:p>
    <w:p>
      <w:pPr>
        <w:pStyle w:val="ListParagraph"/>
        <w:numPr>
          <w:ilvl w:val="0"/>
          <w:numId w:val="2"/>
        </w:numPr>
      </w:pPr>
      <w:r>
        <w:t xml:space="preserve">Submit all documents to DocVault within 24 hours of collection</w:t>
      </w:r>
    </w:p>
    <w:p>
      <w:pPr>
        <w:pStyle w:val="ListParagraph"/>
        <w:numPr>
          <w:ilvl w:val="0"/>
          <w:numId w:val="2"/>
        </w:numPr>
      </w:pPr>
      <w:r>
        <w:t xml:space="preserve">Send welcome package and account agreements for e-signature via DocuSign</w:t>
      </w:r>
    </w:p>
    <w:p>
      <w:r>
        <w:t xml:space="preserve"/>
      </w:r>
    </w:p>
    <w:p>
      <w:pPr>
        <w:pStyle w:val="Heading2"/>
      </w:pPr>
      <w:r>
        <w:t xml:space="preserve">3. Entity Client Onboarding</w:t>
      </w:r>
    </w:p>
    <w:p>
      <w:r>
        <w:t xml:space="preserve">Additional requirements apply for corporate, partnership, trust, and LLC clients:</w:t>
      </w:r>
    </w:p>
    <w:p>
      <w:pPr>
        <w:pStyle w:val="ListParagraph"/>
        <w:numPr>
          <w:ilvl w:val="0"/>
          <w:numId w:val="3"/>
        </w:numPr>
      </w:pPr>
      <w:r>
        <w:t xml:space="preserve">Certificate of Incorporation or equivalent formation document</w:t>
      </w:r>
    </w:p>
    <w:p>
      <w:pPr>
        <w:pStyle w:val="ListParagraph"/>
        <w:numPr>
          <w:ilvl w:val="0"/>
          <w:numId w:val="3"/>
        </w:numPr>
      </w:pPr>
      <w:r>
        <w:t xml:space="preserve">Articles of Association or Operating Agreement</w:t>
      </w:r>
    </w:p>
    <w:p>
      <w:pPr>
        <w:pStyle w:val="ListParagraph"/>
        <w:numPr>
          <w:ilvl w:val="0"/>
          <w:numId w:val="3"/>
        </w:numPr>
      </w:pPr>
      <w:r>
        <w:t xml:space="preserve">Board resolution authorising the account opening and naming authorised signatories</w:t>
      </w:r>
    </w:p>
    <w:p>
      <w:pPr>
        <w:pStyle w:val="ListParagraph"/>
        <w:numPr>
          <w:ilvl w:val="0"/>
          <w:numId w:val="3"/>
        </w:numPr>
      </w:pPr>
      <w:r>
        <w:t xml:space="preserve">Beneficial Ownership Form: identify all individuals owning 25% or more</w:t>
      </w:r>
    </w:p>
    <w:p>
      <w:pPr>
        <w:pStyle w:val="ListParagraph"/>
        <w:numPr>
          <w:ilvl w:val="0"/>
          <w:numId w:val="3"/>
        </w:numPr>
      </w:pPr>
      <w:r>
        <w:t xml:space="preserve">Most recent audited financial statements (within 18 months)</w:t>
      </w:r>
    </w:p>
    <w:p>
      <w:pPr>
        <w:pStyle w:val="ListParagraph"/>
        <w:numPr>
          <w:ilvl w:val="0"/>
          <w:numId w:val="3"/>
        </w:numPr>
      </w:pPr>
      <w:r>
        <w:t xml:space="preserve">List of all authorised signatories with specimen signatures</w:t>
      </w:r>
    </w:p>
    <w:p>
      <w:r>
        <w:t xml:space="preserve"/>
      </w:r>
    </w:p>
    <w:p>
      <w:pPr>
        <w:pStyle w:val="Heading2"/>
      </w:pPr>
      <w:r>
        <w:t xml:space="preserve">4. Verification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Type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Acceptable Sources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Expiry Requirement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Certified Copy?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Passport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Issuing government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Must be valid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Yes, if not original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Driver's License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State/Federal DMV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Must be valid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Yes, if not original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Utility Bill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Gas, electric, water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Within 90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Bank Statement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Licensed financial institution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Within 90 days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Corp Documents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Secretary of State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Within 12 months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5. Risk Rating Framework</w:t>
      </w:r>
    </w:p>
    <w:p>
      <w:pPr>
        <w:pStyle w:val="Heading3"/>
      </w:pPr>
      <w:r>
        <w:t xml:space="preserve">5.1 Low Risk (Score 1-40)</w:t>
      </w:r>
    </w:p>
    <w:p>
      <w:r>
        <w:t xml:space="preserve">Standard CDD applies. Annual review cycle. No senior management approval required.</w:t>
      </w:r>
    </w:p>
    <w:p>
      <w:pPr>
        <w:pStyle w:val="Heading3"/>
      </w:pPr>
      <w:r>
        <w:t xml:space="preserve">5.2 Medium Risk (Score 41-70)</w:t>
      </w:r>
    </w:p>
    <w:p>
      <w:r>
        <w:t xml:space="preserve">Standard CDD plus enhanced transaction monitoring. Semi-annual review cycle. Team lead notification required.</w:t>
      </w:r>
    </w:p>
    <w:p>
      <w:pPr>
        <w:pStyle w:val="Heading3"/>
      </w:pPr>
      <w:r>
        <w:t xml:space="preserve">5.3 High Risk (Score 71-100)</w:t>
      </w:r>
    </w:p>
    <w:p>
      <w:r>
        <w:t xml:space="preserve">Full EDD required. Quarterly review cycle. Senior VP approval required. Monthly transaction monitoring reports sent to AML team.</w:t>
      </w:r>
    </w:p>
    <w:p>
      <w:r>
        <w:t xml:space="preserve"/>
      </w:r>
    </w:p>
    <w:p>
      <w:pPr>
        <w:pStyle w:val="Heading2"/>
      </w:pPr>
      <w:r>
        <w:t xml:space="preserve">6. Onboarding Timelines</w:t>
      </w:r>
    </w:p>
    <w:p>
      <w:pPr>
        <w:pStyle w:val="ListParagraph"/>
        <w:numPr>
          <w:ilvl w:val="0"/>
          <w:numId w:val="3"/>
        </w:numPr>
      </w:pPr>
      <w:r>
        <w:t xml:space="preserve">Standard individual: 3-5 business days</w:t>
      </w:r>
    </w:p>
    <w:p>
      <w:pPr>
        <w:pStyle w:val="ListParagraph"/>
        <w:numPr>
          <w:ilvl w:val="0"/>
          <w:numId w:val="3"/>
        </w:numPr>
      </w:pPr>
      <w:r>
        <w:t xml:space="preserve">Standard entity: 7-10 business days</w:t>
      </w:r>
    </w:p>
    <w:p>
      <w:pPr>
        <w:pStyle w:val="ListParagraph"/>
        <w:numPr>
          <w:ilvl w:val="0"/>
          <w:numId w:val="3"/>
        </w:numPr>
      </w:pPr>
      <w:r>
        <w:t xml:space="preserve">High-risk or complex structures: 15-20 business days</w:t>
      </w:r>
    </w:p>
    <w:p>
      <w:pPr>
        <w:pStyle w:val="ListParagraph"/>
        <w:numPr>
          <w:ilvl w:val="0"/>
          <w:numId w:val="3"/>
        </w:numPr>
      </w:pPr>
      <w:r>
        <w:t xml:space="preserve">Offshore entities: 20-30 business days</w:t>
      </w:r>
    </w:p>
    <w:p>
      <w:r>
        <w:t xml:space="preserve"/>
      </w:r>
    </w:p>
    <w:p>
      <w:pPr>
        <w:pStyle w:val="Heading2"/>
      </w:pPr>
      <w:r>
        <w:t xml:space="preserve">7. System Access &amp; Support</w:t>
      </w:r>
    </w:p>
    <w:p>
      <w:pPr>
        <w:pStyle w:val="ListParagraph"/>
        <w:numPr>
          <w:ilvl w:val="0"/>
          <w:numId w:val="3"/>
        </w:numPr>
      </w:pPr>
      <w:r>
        <w:t xml:space="preserve">KYC Portal: https://kyc.apexfinancial.internal</w:t>
      </w:r>
    </w:p>
    <w:p>
      <w:pPr>
        <w:pStyle w:val="ListParagraph"/>
        <w:numPr>
          <w:ilvl w:val="0"/>
          <w:numId w:val="3"/>
        </w:numPr>
      </w:pPr>
      <w:r>
        <w:t xml:space="preserve">DocVault Document Storage: https://docvault.apexfinancial.internal</w:t>
      </w:r>
    </w:p>
    <w:p>
      <w:pPr>
        <w:pStyle w:val="ListParagraph"/>
        <w:numPr>
          <w:ilvl w:val="0"/>
          <w:numId w:val="3"/>
        </w:numPr>
      </w:pPr>
      <w:r>
        <w:t xml:space="preserve">Onboarding Support Desk: ext. 3300 | onboarding@apexfinancial.com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2026-05-18T16:12:27.811Z</dcterms:created>
  <dcterms:modified xsi:type="dcterms:W3CDTF">2026-05-18T16:12:27.811Z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