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Anti-Money Laundering (AML) Procedures Manual</w:t>
      </w:r>
    </w:p>
    <w:p>
      <w:r>
        <w:rPr>
          <w:i/>
          <w:iCs/>
          <w:color w:val="666666"/>
        </w:rPr>
        <w:t xml:space="preserve">Apex Financial Group | Policy No: AML-002 | Effective: March 1, 2025 | Confidential</w:t>
      </w:r>
    </w:p>
    <w:p>
      <w:r>
        <w:t xml:space="preserve"/>
      </w:r>
    </w:p>
    <w:p>
      <w:pPr>
        <w:pStyle w:val="Heading2"/>
      </w:pPr>
      <w:r>
        <w:t xml:space="preserve">1. Introduction</w:t>
      </w:r>
    </w:p>
    <w:p>
      <w:r>
        <w:t xml:space="preserve">Apex Financial Group is committed to complying with all applicable anti-money laundering laws and regulations, including the Bank Secrecy Act (BSA), the USA PATRIOT Act, and FINRA Rule 3310. This manual outlines the procedures employees must follow to detect and report suspicious activity.</w:t>
      </w:r>
    </w:p>
    <w:p>
      <w:r>
        <w:t xml:space="preserve"/>
      </w:r>
    </w:p>
    <w:p>
      <w:pPr>
        <w:pStyle w:val="Heading2"/>
      </w:pPr>
      <w:r>
        <w:t xml:space="preserve">2. Customer Due Diligence (CDD) Requirements</w:t>
      </w:r>
    </w:p>
    <w:p>
      <w:pPr>
        <w:pStyle w:val="Heading3"/>
      </w:pPr>
      <w:r>
        <w:t xml:space="preserve">2.1 Standard CDD — All Customers</w:t>
      </w:r>
    </w:p>
    <w:p>
      <w:r>
        <w:t xml:space="preserve">Before onboarding any new customer, the following information must be collected and verified:</w:t>
      </w:r>
    </w:p>
    <w:p>
      <w:pPr>
        <w:pStyle w:val="ListParagraph"/>
        <w:numPr>
          <w:ilvl w:val="0"/>
          <w:numId w:val="2"/>
        </w:numPr>
      </w:pPr>
      <w:r>
        <w:t xml:space="preserve">Full legal name and any aliases</w:t>
      </w:r>
    </w:p>
    <w:p>
      <w:pPr>
        <w:pStyle w:val="ListParagraph"/>
        <w:numPr>
          <w:ilvl w:val="0"/>
          <w:numId w:val="2"/>
        </w:numPr>
      </w:pPr>
      <w:r>
        <w:t xml:space="preserve">Date of birth (individuals) or date of incorporation (entities)</w:t>
      </w:r>
    </w:p>
    <w:p>
      <w:pPr>
        <w:pStyle w:val="ListParagraph"/>
        <w:numPr>
          <w:ilvl w:val="0"/>
          <w:numId w:val="2"/>
        </w:numPr>
      </w:pPr>
      <w:r>
        <w:t xml:space="preserve">Government-issued photo ID (passport, driver's license, or national ID)</w:t>
      </w:r>
    </w:p>
    <w:p>
      <w:pPr>
        <w:pStyle w:val="ListParagraph"/>
        <w:numPr>
          <w:ilvl w:val="0"/>
          <w:numId w:val="2"/>
        </w:numPr>
      </w:pPr>
      <w:r>
        <w:t xml:space="preserve">Primary residential or business address — P.O. boxes not accepted as sole address</w:t>
      </w:r>
    </w:p>
    <w:p>
      <w:pPr>
        <w:pStyle w:val="ListParagraph"/>
        <w:numPr>
          <w:ilvl w:val="0"/>
          <w:numId w:val="2"/>
        </w:numPr>
      </w:pPr>
      <w:r>
        <w:t xml:space="preserve">Social Security Number (individuals) or Employer Identification Number (entities)</w:t>
      </w:r>
    </w:p>
    <w:p>
      <w:pPr>
        <w:pStyle w:val="ListParagraph"/>
        <w:numPr>
          <w:ilvl w:val="0"/>
          <w:numId w:val="2"/>
        </w:numPr>
      </w:pPr>
      <w:r>
        <w:t xml:space="preserve">Nature and purpose of the intended business relationship</w:t>
      </w:r>
    </w:p>
    <w:p>
      <w:r>
        <w:t xml:space="preserve"/>
      </w:r>
    </w:p>
    <w:p>
      <w:pPr>
        <w:pStyle w:val="Heading3"/>
      </w:pPr>
      <w:r>
        <w:t xml:space="preserve">2.2 Enhanced Due Diligence (EDD) — High-Risk Customers</w:t>
      </w:r>
    </w:p>
    <w:p>
      <w:r>
        <w:t xml:space="preserve">EDD is required for customers classified as high-risk, including:</w:t>
      </w:r>
    </w:p>
    <w:p>
      <w:pPr>
        <w:pStyle w:val="ListParagraph"/>
        <w:numPr>
          <w:ilvl w:val="0"/>
          <w:numId w:val="2"/>
        </w:numPr>
      </w:pPr>
      <w:r>
        <w:t xml:space="preserve">Politically Exposed Persons (PEPs) and their immediate family members</w:t>
      </w:r>
    </w:p>
    <w:p>
      <w:pPr>
        <w:pStyle w:val="ListParagraph"/>
        <w:numPr>
          <w:ilvl w:val="0"/>
          <w:numId w:val="2"/>
        </w:numPr>
      </w:pPr>
      <w:r>
        <w:t xml:space="preserve">Customers from FATF high-risk jurisdictions (see Appendix A for current list)</w:t>
      </w:r>
    </w:p>
    <w:p>
      <w:pPr>
        <w:pStyle w:val="ListParagraph"/>
        <w:numPr>
          <w:ilvl w:val="0"/>
          <w:numId w:val="2"/>
        </w:numPr>
      </w:pPr>
      <w:r>
        <w:t xml:space="preserve">Cash-intensive businesses (car dealerships, jewelry stores, casinos)</w:t>
      </w:r>
    </w:p>
    <w:p>
      <w:pPr>
        <w:pStyle w:val="ListParagraph"/>
        <w:numPr>
          <w:ilvl w:val="0"/>
          <w:numId w:val="2"/>
        </w:numPr>
      </w:pPr>
      <w:r>
        <w:t xml:space="preserve">Customers with complex ownership structures or shell companies</w:t>
      </w:r>
    </w:p>
    <w:p>
      <w:pPr>
        <w:pStyle w:val="ListParagraph"/>
        <w:numPr>
          <w:ilvl w:val="0"/>
          <w:numId w:val="2"/>
        </w:numPr>
      </w:pPr>
      <w:r>
        <w:t xml:space="preserve">Non-profit organisations handling large volumes of international transfers</w:t>
      </w:r>
    </w:p>
    <w:p>
      <w:r>
        <w:t xml:space="preserve"/>
      </w:r>
    </w:p>
    <w:p>
      <w:r>
        <w:t xml:space="preserve">EDD measures include: senior management approval, enhanced monitoring frequency (monthly vs. quarterly), source of wealth documentation, and annual relationship reviews.</w:t>
      </w:r>
    </w:p>
    <w:p>
      <w:r>
        <w:t xml:space="preserve"/>
      </w:r>
    </w:p>
    <w:p>
      <w:pPr>
        <w:pStyle w:val="Heading2"/>
      </w:pPr>
      <w:r>
        <w:t xml:space="preserve">3. Suspicious Activity Recognition</w:t>
      </w:r>
    </w:p>
    <w:p>
      <w:r>
        <w:t xml:space="preserve">Employees must be alert to the following red flags: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3510"/>
        <w:gridCol w:w="3510"/>
      </w:tblGrid>
      <w:tr>
        <w:tc>
          <w:tcPr>
            <w:tcW w:type="dxa" w:w="234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Category</w:t>
            </w:r>
          </w:p>
        </w:tc>
        <w:tc>
          <w:tcPr>
            <w:tcW w:type="dxa" w:w="351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Red Flag Indicators</w:t>
            </w:r>
          </w:p>
        </w:tc>
        <w:tc>
          <w:tcPr>
            <w:tcW w:type="dxa" w:w="3510"/>
            <w:tcBorders>
              <w:top w:val="single" w:color="CCCCCC" w:sz="1"/>
              <w:left w:val="single" w:color="CCCCCC" w:sz="1"/>
              <w:bottom w:val="single" w:color="CCCCCC" w:sz="1"/>
              <w:right w:val="single" w:color="CCCCCC" w:sz="1"/>
            </w:tcBorders>
            <w:shd w:fill="1F3864" w:val="clear"/>
            <w:tcMar>
              <w:top w:type="dxa" w:w="80"/>
              <w:left w:type="dxa" w:w="120"/>
              <w:bottom w:type="dxa" w:w="80"/>
              <w:right w:type="dxa" w:w="120"/>
            </w:tcMar>
          </w:tcPr>
          <w:p>
            <w:r>
              <w:rPr>
                <w:rFonts w:ascii="Arial" w:cs="Arial" w:eastAsia="Arial" w:hAnsi="Arial"/>
                <w:b/>
                <w:bCs/>
                <w:color w:val="FFFFFF"/>
                <w:sz w:val="22"/>
                <w:szCs w:val="22"/>
              </w:rPr>
              <w:t xml:space="preserve">Required Action</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Cash Activity</w:t>
            </w:r>
          </w:p>
        </w:tc>
        <w:tc>
          <w:tcPr>
            <w:tcW w:type="dxa" w:w="351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Multiple cash deposits just below $10,000 (structuring)</w:t>
            </w:r>
          </w:p>
        </w:tc>
        <w:tc>
          <w:tcPr>
            <w:tcW w:type="dxa" w:w="351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File SAR within 30 days</w:t>
            </w:r>
          </w:p>
        </w:tc>
      </w:tr>
      <w:tr>
        <w:tc>
          <w:tcPr>
            <w:tcW w:type="dxa" w:w="234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Wire Transfers</w:t>
            </w:r>
          </w:p>
        </w:tc>
        <w:tc>
          <w:tcPr>
            <w:tcW w:type="dxa" w:w="351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Frequent transfers to/from high-risk countries</w:t>
            </w:r>
          </w:p>
        </w:tc>
        <w:tc>
          <w:tcPr>
            <w:tcW w:type="dxa" w:w="351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EDD review + escalate to AML team</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Account Behavior</w:t>
            </w:r>
          </w:p>
        </w:tc>
        <w:tc>
          <w:tcPr>
            <w:tcW w:type="dxa" w:w="351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Sudden large transactions inconsistent with profile</w:t>
            </w:r>
          </w:p>
        </w:tc>
        <w:tc>
          <w:tcPr>
            <w:tcW w:type="dxa" w:w="351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Transaction monitoring alert</w:t>
            </w:r>
          </w:p>
        </w:tc>
      </w:tr>
      <w:tr>
        <w:tc>
          <w:tcPr>
            <w:tcW w:type="dxa" w:w="234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Customer Behavior</w:t>
            </w:r>
          </w:p>
        </w:tc>
        <w:tc>
          <w:tcPr>
            <w:tcW w:type="dxa" w:w="351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Reluctance to provide ID or nervousness about reporting</w:t>
            </w:r>
          </w:p>
        </w:tc>
        <w:tc>
          <w:tcPr>
            <w:tcW w:type="dxa" w:w="3510"/>
            <w:tcBorders>
              <w:top w:val="single" w:color="CCCCCC" w:sz="1"/>
              <w:left w:val="single" w:color="CCCCCC" w:sz="1"/>
              <w:bottom w:val="single" w:color="CCCCCC" w:sz="1"/>
              <w:right w:val="single" w:color="CCCCCC" w:sz="1"/>
            </w:tcBorders>
            <w:shd w:fill="EBF3FA" w:val="clear"/>
            <w:tcMar>
              <w:top w:type="dxa" w:w="80"/>
              <w:left w:type="dxa" w:w="120"/>
              <w:bottom w:type="dxa" w:w="80"/>
              <w:right w:type="dxa" w:w="120"/>
            </w:tcMar>
          </w:tcPr>
          <w:p>
            <w:r>
              <w:rPr>
                <w:rFonts w:ascii="Arial" w:cs="Arial" w:eastAsia="Arial" w:hAnsi="Arial"/>
                <w:sz w:val="22"/>
                <w:szCs w:val="22"/>
              </w:rPr>
              <w:t xml:space="preserve">Escalate to AML Officer immediately</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Ownership</w:t>
            </w:r>
          </w:p>
        </w:tc>
        <w:tc>
          <w:tcPr>
            <w:tcW w:type="dxa" w:w="351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Unclear beneficial ownership or frequent ownership changes</w:t>
            </w:r>
          </w:p>
        </w:tc>
        <w:tc>
          <w:tcPr>
            <w:tcW w:type="dxa" w:w="351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sz w:val="22"/>
                <w:szCs w:val="22"/>
              </w:rPr>
              <w:t xml:space="preserve">Beneficial ownership form required</w:t>
            </w:r>
          </w:p>
        </w:tc>
      </w:tr>
    </w:tbl>
    <w:p>
      <w:r>
        <w:t xml:space="preserve"/>
      </w:r>
    </w:p>
    <w:p>
      <w:pPr>
        <w:pStyle w:val="Heading2"/>
      </w:pPr>
      <w:r>
        <w:t xml:space="preserve">4. Suspicious Activity Report (SAR) Filing</w:t>
      </w:r>
    </w:p>
    <w:p>
      <w:r>
        <w:t xml:space="preserve">SARs must be filed with FinCEN when suspicious activity involves $5,000 or more and there is reason to believe the transaction involves money laundering or other illegal activity.</w:t>
      </w:r>
    </w:p>
    <w:p>
      <w:pPr>
        <w:pStyle w:val="ListParagraph"/>
        <w:numPr>
          <w:ilvl w:val="0"/>
          <w:numId w:val="2"/>
        </w:numPr>
      </w:pPr>
      <w:r>
        <w:t xml:space="preserve">Filing deadline: 30 calendar days from initial detection (60 days if suspect is unknown)</w:t>
      </w:r>
    </w:p>
    <w:p>
      <w:pPr>
        <w:pStyle w:val="ListParagraph"/>
        <w:numPr>
          <w:ilvl w:val="0"/>
          <w:numId w:val="2"/>
        </w:numPr>
      </w:pPr>
      <w:r>
        <w:t xml:space="preserve">SARs are filed electronically through the BSA E-Filing System</w:t>
      </w:r>
    </w:p>
    <w:p>
      <w:pPr>
        <w:pStyle w:val="ListParagraph"/>
        <w:numPr>
          <w:ilvl w:val="0"/>
          <w:numId w:val="2"/>
        </w:numPr>
      </w:pPr>
      <w:r>
        <w:t xml:space="preserve">Tipping off the subject of a SAR is a federal criminal offense</w:t>
      </w:r>
    </w:p>
    <w:p>
      <w:pPr>
        <w:pStyle w:val="ListParagraph"/>
        <w:numPr>
          <w:ilvl w:val="0"/>
          <w:numId w:val="2"/>
        </w:numPr>
      </w:pPr>
      <w:r>
        <w:t xml:space="preserve">All SAR filings must be reported to the Chief AML Officer and documented in AMLS</w:t>
      </w:r>
    </w:p>
    <w:p>
      <w:r>
        <w:t xml:space="preserve"/>
      </w:r>
    </w:p>
    <w:p>
      <w:pPr>
        <w:pStyle w:val="Heading2"/>
      </w:pPr>
      <w:r>
        <w:t xml:space="preserve">5. Currency Transaction Reports (CTR)</w:t>
      </w:r>
    </w:p>
    <w:p>
      <w:r>
        <w:t xml:space="preserve">A CTR must be filed for any cash transaction exceeding $10,000 in a single business day, regardless of whether suspicious activity is detected. CTRs are due within 15 calendar days of the transaction.</w:t>
      </w:r>
    </w:p>
    <w:p>
      <w:r>
        <w:t xml:space="preserve"/>
      </w:r>
    </w:p>
    <w:p>
      <w:pPr>
        <w:pStyle w:val="Heading2"/>
      </w:pPr>
      <w:r>
        <w:t xml:space="preserve">6. Training Requirements</w:t>
      </w:r>
    </w:p>
    <w:p>
      <w:pPr>
        <w:pStyle w:val="ListParagraph"/>
        <w:numPr>
          <w:ilvl w:val="0"/>
          <w:numId w:val="2"/>
        </w:numPr>
      </w:pPr>
      <w:r>
        <w:t xml:space="preserve">All new employees: AML foundation training within 30 days of hire</w:t>
      </w:r>
    </w:p>
    <w:p>
      <w:pPr>
        <w:pStyle w:val="ListParagraph"/>
        <w:numPr>
          <w:ilvl w:val="0"/>
          <w:numId w:val="2"/>
        </w:numPr>
      </w:pPr>
      <w:r>
        <w:t xml:space="preserve">All employees: Annual AML refresher training (minimum 2 hours)</w:t>
      </w:r>
    </w:p>
    <w:p>
      <w:pPr>
        <w:pStyle w:val="ListParagraph"/>
        <w:numPr>
          <w:ilvl w:val="0"/>
          <w:numId w:val="2"/>
        </w:numPr>
      </w:pPr>
      <w:r>
        <w:t xml:space="preserve">Customer-facing roles: Additional scenario-based training every 6 months</w:t>
      </w:r>
    </w:p>
    <w:p>
      <w:pPr>
        <w:pStyle w:val="ListParagraph"/>
        <w:numPr>
          <w:ilvl w:val="0"/>
          <w:numId w:val="2"/>
        </w:numPr>
      </w:pPr>
      <w:r>
        <w:t xml:space="preserve">Training completion is tracked in the LMS and non-completion triggers HR escalation</w:t>
      </w:r>
    </w:p>
    <w:p>
      <w:r>
        <w:t xml:space="preserve"/>
      </w:r>
    </w:p>
    <w:p>
      <w:pPr>
        <w:pStyle w:val="Heading2"/>
      </w:pPr>
      <w:r>
        <w:t xml:space="preserve">7. AML Contacts</w:t>
      </w:r>
    </w:p>
    <w:p>
      <w:pPr>
        <w:pStyle w:val="ListParagraph"/>
        <w:numPr>
          <w:ilvl w:val="0"/>
          <w:numId w:val="2"/>
        </w:numPr>
      </w:pPr>
      <w:r>
        <w:t xml:space="preserve">Chief AML Officer: Sarah Chen | s.chen@apexfinancial.com | ext. 4200</w:t>
      </w:r>
    </w:p>
    <w:p>
      <w:pPr>
        <w:pStyle w:val="ListParagraph"/>
        <w:numPr>
          <w:ilvl w:val="0"/>
          <w:numId w:val="2"/>
        </w:numPr>
      </w:pPr>
      <w:r>
        <w:t xml:space="preserve">AML Hotline (24/7): 1-800-AFG-AMLL</w:t>
      </w:r>
    </w:p>
    <w:p>
      <w:pPr>
        <w:pStyle w:val="ListParagraph"/>
        <w:numPr>
          <w:ilvl w:val="0"/>
          <w:numId w:val="2"/>
        </w:numPr>
      </w:pPr>
      <w:r>
        <w:t xml:space="preserve">AMLS System: https://amls.apexfinancial.internal</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F3864"/>
      <w:sz w:val="36"/>
      <w:szCs w:val="36"/>
    </w:rPr>
  </w:style>
  <w:style w:type="paragraph" w:styleId="Heading2">
    <w:name w:val="Heading 2"/>
    <w:basedOn w:val="Normal"/>
    <w:next w:val="Normal"/>
    <w:qFormat/>
    <w:pPr>
      <w:spacing w:after="120" w:before="240"/>
      <w:outlineLvl w:val="1"/>
    </w:pPr>
    <w:rPr>
      <w:rFonts w:ascii="Arial" w:cs="Arial" w:eastAsia="Arial" w:hAnsi="Arial"/>
      <w:b/>
      <w:bCs/>
      <w:color w:val="2E75B6"/>
      <w:sz w:val="28"/>
      <w:szCs w:val="28"/>
    </w:rPr>
  </w:style>
  <w:style w:type="paragraph" w:styleId="Heading3">
    <w:name w:val="Heading 3"/>
    <w:basedOn w:val="Normal"/>
    <w:next w:val="Normal"/>
    <w:qFormat/>
    <w:pPr>
      <w:spacing w:after="80" w:before="18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2026-05-18T16:12:27.797Z</dcterms:created>
  <dcterms:modified xsi:type="dcterms:W3CDTF">2026-05-18T16:12:27.797Z</dcterms:modified>
</cp:coreProperties>
</file>

<file path=docProps/custom.xml><?xml version="1.0" encoding="utf-8"?>
<Properties xmlns="http://schemas.openxmlformats.org/officeDocument/2006/custom-properties" xmlns:vt="http://schemas.openxmlformats.org/officeDocument/2006/docPropsVTypes"/>
</file>