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t xml:space="preserve">Employee Investment &amp; Personal Trading Policy</w:t>
      </w:r>
    </w:p>
    <w:p>
      <w:r>
        <w:rPr>
          <w:i/>
          <w:iCs/>
          <w:color w:val="666666"/>
        </w:rPr>
        <w:t xml:space="preserve">Apex Financial Group | Policy No: COMP-001 | Effective: January 1, 2025 | Review Date: December 31, 2025</w:t>
      </w:r>
    </w:p>
    <w:p>
      <w:r>
        <w:t xml:space="preserve"/>
      </w:r>
    </w:p>
    <w:p>
      <w:pPr>
        <w:pStyle w:val="Heading2"/>
      </w:pPr>
      <w:r>
        <w:t xml:space="preserve">1. Purpose and Scope</w:t>
      </w:r>
    </w:p>
    <w:p>
      <w:r>
        <w:t xml:space="preserve">This policy establishes rules governing personal securities trading by all Apex Financial Group employees, contractors, and their household members. Compliance with this policy is mandatory and violations may result in disciplinary action up to and including termination.</w:t>
      </w:r>
    </w:p>
    <w:p>
      <w:r>
        <w:t xml:space="preserve"/>
      </w:r>
    </w:p>
    <w:p>
      <w:pPr>
        <w:pStyle w:val="Heading2"/>
      </w:pPr>
      <w:r>
        <w:t xml:space="preserve">2. Pre-Clearance Requirements</w:t>
      </w:r>
    </w:p>
    <w:p>
      <w:r>
        <w:t xml:space="preserve">All employees classified as Access Persons must obtain pre-clearance before executing any personal securities transaction. The following transaction types require pre-clearance:</w:t>
      </w:r>
    </w:p>
    <w:p>
      <w:pPr>
        <w:pStyle w:val="ListParagraph"/>
        <w:numPr>
          <w:ilvl w:val="0"/>
          <w:numId w:val="2"/>
        </w:numPr>
      </w:pPr>
      <w:r>
        <w:t xml:space="preserve">Purchase or sale of any individual equity security valued over $5,000</w:t>
      </w:r>
    </w:p>
    <w:p>
      <w:pPr>
        <w:pStyle w:val="ListParagraph"/>
        <w:numPr>
          <w:ilvl w:val="0"/>
          <w:numId w:val="2"/>
        </w:numPr>
      </w:pPr>
      <w:r>
        <w:t xml:space="preserve">Purchase or sale of any fixed income security</w:t>
      </w:r>
    </w:p>
    <w:p>
      <w:pPr>
        <w:pStyle w:val="ListParagraph"/>
        <w:numPr>
          <w:ilvl w:val="0"/>
          <w:numId w:val="2"/>
        </w:numPr>
      </w:pPr>
      <w:r>
        <w:t xml:space="preserve">Options, futures, or derivative transactions on individual securities</w:t>
      </w:r>
    </w:p>
    <w:p>
      <w:pPr>
        <w:pStyle w:val="ListParagraph"/>
        <w:numPr>
          <w:ilvl w:val="0"/>
          <w:numId w:val="2"/>
        </w:numPr>
      </w:pPr>
      <w:r>
        <w:t xml:space="preserve">Initial Public Offering (IPO) participation</w:t>
      </w:r>
    </w:p>
    <w:p>
      <w:pPr>
        <w:pStyle w:val="ListParagraph"/>
        <w:numPr>
          <w:ilvl w:val="0"/>
          <w:numId w:val="2"/>
        </w:numPr>
      </w:pPr>
      <w:r>
        <w:t xml:space="preserve">Private placement investments</w:t>
      </w:r>
    </w:p>
    <w:p>
      <w:r>
        <w:t xml:space="preserve"/>
      </w:r>
    </w:p>
    <w:p>
      <w:r>
        <w:t xml:space="preserve">Pre-clearance requests must be submitted through the ComplianceTrack portal at least 24 hours before the intended trade. Approval is valid for 48 hours from the time of approval.</w:t>
      </w:r>
    </w:p>
    <w:p>
      <w:r>
        <w:t xml:space="preserve"/>
      </w:r>
    </w:p>
    <w:p>
      <w:pPr>
        <w:pStyle w:val="Heading2"/>
      </w:pPr>
      <w:r>
        <w:t xml:space="preserve">3. Blackout Periods</w:t>
      </w:r>
    </w:p>
    <w:p>
      <w:r>
        <w:t xml:space="preserve">Trading in Apex Financial Group (AFG) securities is prohibited during the following blackout periods:</w:t>
      </w:r>
    </w:p>
    <w:p>
      <w:pPr>
        <w:pStyle w:val="ListParagraph"/>
        <w:numPr>
          <w:ilvl w:val="0"/>
          <w:numId w:val="2"/>
        </w:numPr>
      </w:pPr>
      <w:r>
        <w:t xml:space="preserve">15 days before and 2 days after earnings announcements</w:t>
      </w:r>
    </w:p>
    <w:p>
      <w:pPr>
        <w:pStyle w:val="ListParagraph"/>
        <w:numPr>
          <w:ilvl w:val="0"/>
          <w:numId w:val="2"/>
        </w:numPr>
      </w:pPr>
      <w:r>
        <w:t xml:space="preserve">During any period when the employee possesses material non-public information</w:t>
      </w:r>
    </w:p>
    <w:p>
      <w:pPr>
        <w:pStyle w:val="ListParagraph"/>
        <w:numPr>
          <w:ilvl w:val="0"/>
          <w:numId w:val="2"/>
        </w:numPr>
      </w:pPr>
      <w:r>
        <w:t xml:space="preserve">Special blackout periods declared by the Chief Compliance Officer</w:t>
      </w:r>
    </w:p>
    <w:p>
      <w:r>
        <w:t xml:space="preserve"/>
      </w:r>
    </w:p>
    <w:p>
      <w:pPr>
        <w:pStyle w:val="Heading2"/>
      </w:pPr>
      <w:r>
        <w:t xml:space="preserve">4. Prohibited Transactions</w:t>
      </w:r>
    </w:p>
    <w:p>
      <w:r>
        <w:t xml:space="preserve">The following transactions are strictly prohibited for all employees:</w:t>
      </w:r>
    </w:p>
    <w:p>
      <w:pPr>
        <w:pStyle w:val="ListParagraph"/>
        <w:numPr>
          <w:ilvl w:val="0"/>
          <w:numId w:val="2"/>
        </w:numPr>
      </w:pPr>
      <w:r>
        <w:t xml:space="preserve">Short selling of AFG securities at any time</w:t>
      </w:r>
    </w:p>
    <w:p>
      <w:pPr>
        <w:pStyle w:val="ListParagraph"/>
        <w:numPr>
          <w:ilvl w:val="0"/>
          <w:numId w:val="2"/>
        </w:numPr>
      </w:pPr>
      <w:r>
        <w:t xml:space="preserve">Trading in AFG securities-based derivative instruments</w:t>
      </w:r>
    </w:p>
    <w:p>
      <w:pPr>
        <w:pStyle w:val="ListParagraph"/>
        <w:numPr>
          <w:ilvl w:val="0"/>
          <w:numId w:val="2"/>
        </w:numPr>
      </w:pPr>
      <w:r>
        <w:t xml:space="preserve">Hedging transactions involving AFG securities</w:t>
      </w:r>
    </w:p>
    <w:p>
      <w:pPr>
        <w:pStyle w:val="ListParagraph"/>
        <w:numPr>
          <w:ilvl w:val="0"/>
          <w:numId w:val="2"/>
        </w:numPr>
      </w:pPr>
      <w:r>
        <w:t xml:space="preserve">Transactions in securities of clients or counterparties based on information obtained through employment</w:t>
      </w:r>
    </w:p>
    <w:p>
      <w:pPr>
        <w:pStyle w:val="ListParagraph"/>
        <w:numPr>
          <w:ilvl w:val="0"/>
          <w:numId w:val="2"/>
        </w:numPr>
      </w:pPr>
      <w:r>
        <w:t xml:space="preserve">Participation in investment clubs or pooled arrangements without prior written approval</w:t>
      </w:r>
    </w:p>
    <w:p>
      <w:r>
        <w:t xml:space="preserve"/>
      </w:r>
    </w:p>
    <w:p>
      <w:pPr>
        <w:pStyle w:val="Heading2"/>
      </w:pPr>
      <w:r>
        <w:t xml:space="preserve">5. Holding Period Requirements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CCCCCC" w:sz="1"/>
              <w:left w:val="single" w:color="CCCCCC" w:sz="1"/>
              <w:bottom w:val="single" w:color="CCCCCC" w:sz="1"/>
              <w:right w:val="single" w:color="CCCCCC" w:sz="1"/>
            </w:tcBorders>
            <w:shd w:fill="1F3864" w:val="clear"/>
            <w:tcMar>
              <w:top w:type="dxa" w:w="80"/>
              <w:left w:type="dxa" w:w="120"/>
              <w:bottom w:type="dxa" w:w="80"/>
              <w:right w:type="dxa" w:w="120"/>
            </w:tcMar>
          </w:tcPr>
          <w:p>
            <w:r>
              <w:rPr>
                <w:rFonts w:ascii="Arial" w:cs="Arial" w:eastAsia="Arial" w:hAnsi="Arial"/>
                <w:b/>
                <w:bCs/>
                <w:color w:val="FFFFFF"/>
                <w:sz w:val="22"/>
                <w:szCs w:val="22"/>
              </w:rPr>
              <w:t xml:space="preserve">Security Type</w:t>
            </w:r>
          </w:p>
        </w:tc>
        <w:tc>
          <w:tcPr>
            <w:tcW w:type="dxa" w:w="3120"/>
            <w:tcBorders>
              <w:top w:val="single" w:color="CCCCCC" w:sz="1"/>
              <w:left w:val="single" w:color="CCCCCC" w:sz="1"/>
              <w:bottom w:val="single" w:color="CCCCCC" w:sz="1"/>
              <w:right w:val="single" w:color="CCCCCC" w:sz="1"/>
            </w:tcBorders>
            <w:shd w:fill="1F3864" w:val="clear"/>
            <w:tcMar>
              <w:top w:type="dxa" w:w="80"/>
              <w:left w:type="dxa" w:w="120"/>
              <w:bottom w:type="dxa" w:w="80"/>
              <w:right w:type="dxa" w:w="120"/>
            </w:tcMar>
          </w:tcPr>
          <w:p>
            <w:r>
              <w:rPr>
                <w:rFonts w:ascii="Arial" w:cs="Arial" w:eastAsia="Arial" w:hAnsi="Arial"/>
                <w:b/>
                <w:bCs/>
                <w:color w:val="FFFFFF"/>
                <w:sz w:val="22"/>
                <w:szCs w:val="22"/>
              </w:rPr>
              <w:t xml:space="preserve">Minimum Holding Period</w:t>
            </w:r>
          </w:p>
        </w:tc>
        <w:tc>
          <w:tcPr>
            <w:tcW w:type="dxa" w:w="3120"/>
            <w:tcBorders>
              <w:top w:val="single" w:color="CCCCCC" w:sz="1"/>
              <w:left w:val="single" w:color="CCCCCC" w:sz="1"/>
              <w:bottom w:val="single" w:color="CCCCCC" w:sz="1"/>
              <w:right w:val="single" w:color="CCCCCC" w:sz="1"/>
            </w:tcBorders>
            <w:shd w:fill="1F3864" w:val="clear"/>
            <w:tcMar>
              <w:top w:type="dxa" w:w="80"/>
              <w:left w:type="dxa" w:w="120"/>
              <w:bottom w:type="dxa" w:w="80"/>
              <w:right w:type="dxa" w:w="120"/>
            </w:tcMar>
          </w:tcPr>
          <w:p>
            <w:r>
              <w:rPr>
                <w:rFonts w:ascii="Arial" w:cs="Arial" w:eastAsia="Arial" w:hAnsi="Arial"/>
                <w:b/>
                <w:bCs/>
                <w:color w:val="FFFFFF"/>
                <w:sz w:val="22"/>
                <w:szCs w:val="22"/>
              </w:rPr>
              <w:t xml:space="preserve">Exception Process</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AFG Common Stock</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6 months</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CEO approval required</w:t>
            </w:r>
          </w:p>
        </w:tc>
      </w:tr>
      <w:tr>
        <w:tc>
          <w:tcPr>
            <w:tcW w:type="dxa" w:w="3120"/>
            <w:tcBorders>
              <w:top w:val="single" w:color="CCCCCC" w:sz="1"/>
              <w:left w:val="single" w:color="CCCCCC" w:sz="1"/>
              <w:bottom w:val="single" w:color="CCCCCC" w:sz="1"/>
              <w:right w:val="single" w:color="CCCCCC" w:sz="1"/>
            </w:tcBorders>
            <w:shd w:fill="EBF3FA" w:val="clear"/>
            <w:tcMar>
              <w:top w:type="dxa" w:w="80"/>
              <w:left w:type="dxa" w:w="120"/>
              <w:bottom w:type="dxa" w:w="80"/>
              <w:right w:type="dxa" w:w="120"/>
            </w:tcMar>
          </w:tcPr>
          <w:p>
            <w:r>
              <w:rPr>
                <w:rFonts w:ascii="Arial" w:cs="Arial" w:eastAsia="Arial" w:hAnsi="Arial"/>
                <w:sz w:val="22"/>
                <w:szCs w:val="22"/>
              </w:rPr>
              <w:t xml:space="preserve">Third-Party Equities</w:t>
            </w:r>
          </w:p>
        </w:tc>
        <w:tc>
          <w:tcPr>
            <w:tcW w:type="dxa" w:w="3120"/>
            <w:tcBorders>
              <w:top w:val="single" w:color="CCCCCC" w:sz="1"/>
              <w:left w:val="single" w:color="CCCCCC" w:sz="1"/>
              <w:bottom w:val="single" w:color="CCCCCC" w:sz="1"/>
              <w:right w:val="single" w:color="CCCCCC" w:sz="1"/>
            </w:tcBorders>
            <w:shd w:fill="EBF3FA" w:val="clear"/>
            <w:tcMar>
              <w:top w:type="dxa" w:w="80"/>
              <w:left w:type="dxa" w:w="120"/>
              <w:bottom w:type="dxa" w:w="80"/>
              <w:right w:type="dxa" w:w="120"/>
            </w:tcMar>
          </w:tcPr>
          <w:p>
            <w:r>
              <w:rPr>
                <w:rFonts w:ascii="Arial" w:cs="Arial" w:eastAsia="Arial" w:hAnsi="Arial"/>
                <w:sz w:val="22"/>
                <w:szCs w:val="22"/>
              </w:rPr>
              <w:t xml:space="preserve">30 days</w:t>
            </w:r>
          </w:p>
        </w:tc>
        <w:tc>
          <w:tcPr>
            <w:tcW w:type="dxa" w:w="3120"/>
            <w:tcBorders>
              <w:top w:val="single" w:color="CCCCCC" w:sz="1"/>
              <w:left w:val="single" w:color="CCCCCC" w:sz="1"/>
              <w:bottom w:val="single" w:color="CCCCCC" w:sz="1"/>
              <w:right w:val="single" w:color="CCCCCC" w:sz="1"/>
            </w:tcBorders>
            <w:shd w:fill="EBF3FA" w:val="clear"/>
            <w:tcMar>
              <w:top w:type="dxa" w:w="80"/>
              <w:left w:type="dxa" w:w="120"/>
              <w:bottom w:type="dxa" w:w="80"/>
              <w:right w:type="dxa" w:w="120"/>
            </w:tcMar>
          </w:tcPr>
          <w:p>
            <w:r>
              <w:rPr>
                <w:rFonts w:ascii="Arial" w:cs="Arial" w:eastAsia="Arial" w:hAnsi="Arial"/>
                <w:sz w:val="22"/>
                <w:szCs w:val="22"/>
              </w:rPr>
              <w:t xml:space="preserve">CCO approval</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Mutual Funds</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No restriction</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N/A</w:t>
            </w:r>
          </w:p>
        </w:tc>
      </w:tr>
      <w:tr>
        <w:tc>
          <w:tcPr>
            <w:tcW w:type="dxa" w:w="3120"/>
            <w:tcBorders>
              <w:top w:val="single" w:color="CCCCCC" w:sz="1"/>
              <w:left w:val="single" w:color="CCCCCC" w:sz="1"/>
              <w:bottom w:val="single" w:color="CCCCCC" w:sz="1"/>
              <w:right w:val="single" w:color="CCCCCC" w:sz="1"/>
            </w:tcBorders>
            <w:shd w:fill="EBF3FA" w:val="clear"/>
            <w:tcMar>
              <w:top w:type="dxa" w:w="80"/>
              <w:left w:type="dxa" w:w="120"/>
              <w:bottom w:type="dxa" w:w="80"/>
              <w:right w:type="dxa" w:w="120"/>
            </w:tcMar>
          </w:tcPr>
          <w:p>
            <w:r>
              <w:rPr>
                <w:rFonts w:ascii="Arial" w:cs="Arial" w:eastAsia="Arial" w:hAnsi="Arial"/>
                <w:sz w:val="22"/>
                <w:szCs w:val="22"/>
              </w:rPr>
              <w:t xml:space="preserve">Government Securities</w:t>
            </w:r>
          </w:p>
        </w:tc>
        <w:tc>
          <w:tcPr>
            <w:tcW w:type="dxa" w:w="3120"/>
            <w:tcBorders>
              <w:top w:val="single" w:color="CCCCCC" w:sz="1"/>
              <w:left w:val="single" w:color="CCCCCC" w:sz="1"/>
              <w:bottom w:val="single" w:color="CCCCCC" w:sz="1"/>
              <w:right w:val="single" w:color="CCCCCC" w:sz="1"/>
            </w:tcBorders>
            <w:shd w:fill="EBF3FA" w:val="clear"/>
            <w:tcMar>
              <w:top w:type="dxa" w:w="80"/>
              <w:left w:type="dxa" w:w="120"/>
              <w:bottom w:type="dxa" w:w="80"/>
              <w:right w:type="dxa" w:w="120"/>
            </w:tcMar>
          </w:tcPr>
          <w:p>
            <w:r>
              <w:rPr>
                <w:rFonts w:ascii="Arial" w:cs="Arial" w:eastAsia="Arial" w:hAnsi="Arial"/>
                <w:sz w:val="22"/>
                <w:szCs w:val="22"/>
              </w:rPr>
              <w:t xml:space="preserve">No restriction</w:t>
            </w:r>
          </w:p>
        </w:tc>
        <w:tc>
          <w:tcPr>
            <w:tcW w:type="dxa" w:w="3120"/>
            <w:tcBorders>
              <w:top w:val="single" w:color="CCCCCC" w:sz="1"/>
              <w:left w:val="single" w:color="CCCCCC" w:sz="1"/>
              <w:bottom w:val="single" w:color="CCCCCC" w:sz="1"/>
              <w:right w:val="single" w:color="CCCCCC" w:sz="1"/>
            </w:tcBorders>
            <w:shd w:fill="EBF3FA" w:val="clear"/>
            <w:tcMar>
              <w:top w:type="dxa" w:w="80"/>
              <w:left w:type="dxa" w:w="120"/>
              <w:bottom w:type="dxa" w:w="80"/>
              <w:right w:type="dxa" w:w="120"/>
            </w:tcMar>
          </w:tcPr>
          <w:p>
            <w:r>
              <w:rPr>
                <w:rFonts w:ascii="Arial" w:cs="Arial" w:eastAsia="Arial" w:hAnsi="Arial"/>
                <w:sz w:val="22"/>
                <w:szCs w:val="22"/>
              </w:rPr>
              <w:t xml:space="preserve">N/A</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ETFs (broad market)</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No restriction</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N/A</w:t>
            </w:r>
          </w:p>
        </w:tc>
      </w:tr>
    </w:tbl>
    <w:p>
      <w:r>
        <w:t xml:space="preserve"/>
      </w:r>
    </w:p>
    <w:p>
      <w:pPr>
        <w:pStyle w:val="Heading2"/>
      </w:pPr>
      <w:r>
        <w:t xml:space="preserve">6. Reporting Requirements</w:t>
      </w:r>
    </w:p>
    <w:p>
      <w:r>
        <w:t xml:space="preserve">Access Persons must submit the following reports:</w:t>
      </w:r>
    </w:p>
    <w:p>
      <w:pPr>
        <w:pStyle w:val="ListParagraph"/>
        <w:numPr>
          <w:ilvl w:val="0"/>
          <w:numId w:val="2"/>
        </w:numPr>
      </w:pPr>
      <w:r>
        <w:t xml:space="preserve">Initial Holdings Report: Within 10 days of becoming an Access Person</w:t>
      </w:r>
    </w:p>
    <w:p>
      <w:pPr>
        <w:pStyle w:val="ListParagraph"/>
        <w:numPr>
          <w:ilvl w:val="0"/>
          <w:numId w:val="2"/>
        </w:numPr>
      </w:pPr>
      <w:r>
        <w:t xml:space="preserve">Quarterly Transaction Reports: Due within 30 days of quarter end</w:t>
      </w:r>
    </w:p>
    <w:p>
      <w:pPr>
        <w:pStyle w:val="ListParagraph"/>
        <w:numPr>
          <w:ilvl w:val="0"/>
          <w:numId w:val="2"/>
        </w:numPr>
      </w:pPr>
      <w:r>
        <w:t xml:space="preserve">Annual Holdings Certification: Due January 31 of each year</w:t>
      </w:r>
    </w:p>
    <w:p>
      <w:r>
        <w:t xml:space="preserve"/>
      </w:r>
    </w:p>
    <w:p>
      <w:pPr>
        <w:pStyle w:val="Heading2"/>
      </w:pPr>
      <w:r>
        <w:t xml:space="preserve">7. Penalties for Non-Compliance</w:t>
      </w:r>
    </w:p>
    <w:p>
      <w:r>
        <w:t xml:space="preserve">Violations of this policy are taken extremely seriously. Consequences include:</w:t>
      </w:r>
    </w:p>
    <w:p>
      <w:pPr>
        <w:pStyle w:val="ListParagraph"/>
        <w:numPr>
          <w:ilvl w:val="0"/>
          <w:numId w:val="3"/>
        </w:numPr>
      </w:pPr>
      <w:r>
        <w:t xml:space="preserve">First violation: Written warning and mandatory remedial training</w:t>
      </w:r>
    </w:p>
    <w:p>
      <w:pPr>
        <w:pStyle w:val="ListParagraph"/>
        <w:numPr>
          <w:ilvl w:val="0"/>
          <w:numId w:val="3"/>
        </w:numPr>
      </w:pPr>
      <w:r>
        <w:t xml:space="preserve">Second violation: Suspension of trading privileges for 6 months and potential clawback of trading profits</w:t>
      </w:r>
    </w:p>
    <w:p>
      <w:pPr>
        <w:pStyle w:val="ListParagraph"/>
        <w:numPr>
          <w:ilvl w:val="0"/>
          <w:numId w:val="3"/>
        </w:numPr>
      </w:pPr>
      <w:r>
        <w:t xml:space="preserve">Third violation: Termination of employment and referral to regulatory authorities</w:t>
      </w:r>
    </w:p>
    <w:p>
      <w:r>
        <w:t xml:space="preserve"/>
      </w:r>
    </w:p>
    <w:p>
      <w:pPr>
        <w:pStyle w:val="Heading2"/>
      </w:pPr>
      <w:r>
        <w:t xml:space="preserve">8. Contacts</w:t>
      </w:r>
    </w:p>
    <w:p>
      <w:pPr>
        <w:pStyle w:val="ListParagraph"/>
        <w:numPr>
          <w:ilvl w:val="0"/>
          <w:numId w:val="2"/>
        </w:numPr>
      </w:pPr>
      <w:r>
        <w:t xml:space="preserve">Chief Compliance Officer: compliance@apexfinancial.com | ext. 4100</w:t>
      </w:r>
    </w:p>
    <w:p>
      <w:pPr>
        <w:pStyle w:val="ListParagraph"/>
        <w:numPr>
          <w:ilvl w:val="0"/>
          <w:numId w:val="2"/>
        </w:numPr>
      </w:pPr>
      <w:r>
        <w:t xml:space="preserve">ComplianceTrack Portal: https://compliance.apexfinancial.internal</w:t>
      </w:r>
    </w:p>
    <w:p>
      <w:pPr>
        <w:pStyle w:val="ListParagraph"/>
        <w:numPr>
          <w:ilvl w:val="0"/>
          <w:numId w:val="2"/>
        </w:numPr>
      </w:pPr>
      <w:r>
        <w:t xml:space="preserve">Ethics Hotline (anonymous): 1-800-AFG-ETHX</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80" w:before="360"/>
      <w:outlineLvl w:val="0"/>
    </w:pPr>
    <w:rPr>
      <w:rFonts w:ascii="Arial" w:cs="Arial" w:eastAsia="Arial" w:hAnsi="Arial"/>
      <w:b/>
      <w:bCs/>
      <w:color w:val="1F3864"/>
      <w:sz w:val="36"/>
      <w:szCs w:val="36"/>
    </w:rPr>
  </w:style>
  <w:style w:type="paragraph" w:styleId="Heading2">
    <w:name w:val="Heading 2"/>
    <w:basedOn w:val="Normal"/>
    <w:next w:val="Normal"/>
    <w:qFormat/>
    <w:pPr>
      <w:spacing w:after="120" w:before="240"/>
      <w:outlineLvl w:val="1"/>
    </w:pPr>
    <w:rPr>
      <w:rFonts w:ascii="Arial" w:cs="Arial" w:eastAsia="Arial" w:hAnsi="Arial"/>
      <w:b/>
      <w:bCs/>
      <w:color w:val="2E75B6"/>
      <w:sz w:val="28"/>
      <w:szCs w:val="28"/>
    </w:rPr>
  </w:style>
  <w:style w:type="paragraph" w:styleId="Heading3">
    <w:name w:val="Heading 3"/>
    <w:basedOn w:val="Normal"/>
    <w:next w:val="Normal"/>
    <w:qFormat/>
    <w:pPr>
      <w:spacing w:after="80" w:before="180"/>
      <w:outlineLvl w:val="2"/>
    </w:pPr>
    <w:rPr>
      <w:rFonts w:ascii="Arial" w:cs="Arial" w:eastAsia="Arial" w:hAnsi="Arial"/>
      <w:b/>
      <w:bCs/>
      <w:color w:val="404040"/>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2026-05-18T16:12:27.773Z</dcterms:created>
  <dcterms:modified xsi:type="dcterms:W3CDTF">2026-05-18T16:12:27.773Z</dcterms:modified>
</cp:coreProperties>
</file>

<file path=docProps/custom.xml><?xml version="1.0" encoding="utf-8"?>
<Properties xmlns="http://schemas.openxmlformats.org/officeDocument/2006/custom-properties" xmlns:vt="http://schemas.openxmlformats.org/officeDocument/2006/docPropsVTypes"/>
</file>